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8785" w:tblpY="1225"/>
        <w:tblW w:w="2835" w:type="dxa"/>
        <w:tblCellMar>
          <w:left w:w="0" w:type="dxa"/>
          <w:right w:w="0" w:type="dxa"/>
        </w:tblCellMar>
        <w:tblLook w:val="00A0" w:firstRow="1" w:lastRow="0" w:firstColumn="1" w:lastColumn="0" w:noHBand="0" w:noVBand="0"/>
      </w:tblPr>
      <w:tblGrid>
        <w:gridCol w:w="2835"/>
      </w:tblGrid>
      <w:tr w:rsidR="00691826" w14:paraId="55E92BEA" w14:textId="77777777">
        <w:tc>
          <w:tcPr>
            <w:tcW w:w="2610" w:type="dxa"/>
            <w:tcBorders>
              <w:top w:val="nil"/>
              <w:left w:val="nil"/>
              <w:bottom w:val="nil"/>
              <w:right w:val="nil"/>
            </w:tcBorders>
          </w:tcPr>
          <w:p w14:paraId="3CE5C5FC" w14:textId="77777777" w:rsidR="00691826" w:rsidRDefault="00691826" w:rsidP="00691826">
            <w:pPr>
              <w:pStyle w:val="BarclaysAddressCopy"/>
              <w:framePr w:hSpace="0" w:wrap="auto" w:vAnchor="margin" w:hAnchor="text" w:xAlign="left" w:yAlign="inline"/>
            </w:pPr>
            <w:bookmarkStart w:id="0" w:name="_GoBack"/>
            <w:bookmarkEnd w:id="0"/>
          </w:p>
        </w:tc>
      </w:tr>
    </w:tbl>
    <w:p w14:paraId="6D4681E7" w14:textId="77777777" w:rsidR="00003319" w:rsidRPr="00003319" w:rsidRDefault="00003319" w:rsidP="00003319">
      <w:pPr>
        <w:spacing w:line="288" w:lineRule="auto"/>
        <w:jc w:val="both"/>
        <w:rPr>
          <w:b/>
          <w:color w:val="auto"/>
          <w:sz w:val="20"/>
          <w:szCs w:val="20"/>
        </w:rPr>
      </w:pPr>
      <w:r w:rsidRPr="00003319">
        <w:rPr>
          <w:b/>
          <w:color w:val="auto"/>
          <w:sz w:val="20"/>
          <w:szCs w:val="20"/>
        </w:rPr>
        <w:t xml:space="preserve">Consultation response from Barclays Bank Plc (“Barclays”) </w:t>
      </w:r>
      <w:r w:rsidR="001029E7">
        <w:rPr>
          <w:b/>
          <w:color w:val="auto"/>
          <w:sz w:val="20"/>
          <w:szCs w:val="20"/>
        </w:rPr>
        <w:t>in respect</w:t>
      </w:r>
      <w:r w:rsidRPr="00003319">
        <w:rPr>
          <w:b/>
          <w:color w:val="auto"/>
          <w:sz w:val="20"/>
          <w:szCs w:val="20"/>
        </w:rPr>
        <w:t xml:space="preserve"> of the Barclays Bank UK Retirement Fund (“UKRF”)</w:t>
      </w:r>
    </w:p>
    <w:p w14:paraId="44F26936" w14:textId="77777777" w:rsidR="00003319" w:rsidRPr="00003319" w:rsidRDefault="00003319" w:rsidP="00003319">
      <w:pPr>
        <w:spacing w:line="288" w:lineRule="auto"/>
        <w:jc w:val="both"/>
        <w:rPr>
          <w:b/>
          <w:color w:val="auto"/>
          <w:sz w:val="20"/>
          <w:szCs w:val="20"/>
        </w:rPr>
      </w:pPr>
    </w:p>
    <w:p w14:paraId="22BB24D8" w14:textId="77777777" w:rsidR="00003319" w:rsidRPr="00003319" w:rsidRDefault="00003319" w:rsidP="00003319">
      <w:pPr>
        <w:autoSpaceDE w:val="0"/>
        <w:autoSpaceDN w:val="0"/>
        <w:adjustRightInd w:val="0"/>
        <w:spacing w:line="288" w:lineRule="auto"/>
        <w:jc w:val="both"/>
        <w:rPr>
          <w:rFonts w:eastAsia="Times New Roman"/>
          <w:bCs/>
          <w:color w:val="auto"/>
          <w:sz w:val="20"/>
          <w:szCs w:val="20"/>
        </w:rPr>
      </w:pPr>
      <w:r w:rsidRPr="00003319">
        <w:rPr>
          <w:rFonts w:eastAsia="Times New Roman"/>
          <w:bCs/>
          <w:color w:val="auto"/>
          <w:sz w:val="20"/>
          <w:szCs w:val="20"/>
        </w:rPr>
        <w:t>Barclays, having considered the Trustee of the UKRF’s views on the matter, is supportive of the increased regulatory focus and actions to improve transparency in the asset management industry by requiring that all costs and charges are disclosed to Trustees and pension scheme managers. The new disclosures will allow Trustees to fully benchmark the investment funds they use and assess performance and risk against costs. This increased transparency should also apply pressure on asset managers to improve investment efficiencies and potentially drive competition in pricing which will benefit all investors.</w:t>
      </w:r>
    </w:p>
    <w:p w14:paraId="00813F59" w14:textId="77777777" w:rsidR="00003319" w:rsidRPr="00003319" w:rsidRDefault="00003319" w:rsidP="00003319">
      <w:pPr>
        <w:autoSpaceDE w:val="0"/>
        <w:autoSpaceDN w:val="0"/>
        <w:adjustRightInd w:val="0"/>
        <w:spacing w:line="288" w:lineRule="auto"/>
        <w:jc w:val="both"/>
        <w:rPr>
          <w:rFonts w:eastAsia="Times New Roman"/>
          <w:bCs/>
          <w:color w:val="auto"/>
          <w:sz w:val="20"/>
          <w:szCs w:val="20"/>
        </w:rPr>
      </w:pPr>
    </w:p>
    <w:p w14:paraId="7967FABE" w14:textId="77777777" w:rsidR="00003319" w:rsidRPr="00003319" w:rsidRDefault="00003319" w:rsidP="00003319">
      <w:pPr>
        <w:spacing w:line="288" w:lineRule="auto"/>
        <w:jc w:val="both"/>
        <w:rPr>
          <w:color w:val="auto"/>
          <w:sz w:val="20"/>
          <w:szCs w:val="20"/>
        </w:rPr>
      </w:pPr>
      <w:r w:rsidRPr="00003319">
        <w:rPr>
          <w:rFonts w:eastAsia="Times New Roman"/>
          <w:bCs/>
          <w:color w:val="auto"/>
          <w:sz w:val="20"/>
          <w:szCs w:val="20"/>
        </w:rPr>
        <w:t xml:space="preserve">While we are fully supportive of this greater transparency and disclosure we believe there is a clear difference in the depth of information required by Trustees and by members. The proposals as drafted will see complex information presented within a document (the Trust’s report and accounts) that is generally not accessed by members. Using a wide range of projections to show the effect of charges means it will be presented in a way that is likely to cause confusion or prevent clear understanding for the majority of members. The proposed public disclosure of limited scheme information is also likely to lead to false benchmarking as it will not consider all of the variables that deliver value. The Pensions Regulator, in its supporting guide to the DC Code of Practice, lists the wide range of areas outside of cost that contribute to member value. Focusing just on investment cost could cause members to make poor decisions with regards their pension savings.  It is unclear from the consultation exactly what members are expected to be able to do with the publicly available information about other pensions schemes. </w:t>
      </w:r>
      <w:r w:rsidRPr="00003319">
        <w:rPr>
          <w:color w:val="auto"/>
          <w:sz w:val="20"/>
          <w:szCs w:val="20"/>
        </w:rPr>
        <w:t>It is clear what Trustees should do (assess value, benchmark, seek to improve value) but for members the choice is to pay the cost, move to a cheaper fund (which may not improve their pension outcome) or stop saving (which will be a bad pension decision).</w:t>
      </w:r>
    </w:p>
    <w:p w14:paraId="250B3AD2" w14:textId="77777777" w:rsidR="00003319" w:rsidRPr="00003319" w:rsidRDefault="00003319" w:rsidP="00003319">
      <w:pPr>
        <w:spacing w:line="288" w:lineRule="auto"/>
        <w:jc w:val="both"/>
        <w:rPr>
          <w:color w:val="auto"/>
          <w:sz w:val="20"/>
          <w:szCs w:val="20"/>
        </w:rPr>
      </w:pPr>
    </w:p>
    <w:p w14:paraId="3ADC499B" w14:textId="77777777" w:rsidR="00003319" w:rsidRPr="00003319" w:rsidRDefault="00003319" w:rsidP="00003319">
      <w:pPr>
        <w:autoSpaceDE w:val="0"/>
        <w:autoSpaceDN w:val="0"/>
        <w:adjustRightInd w:val="0"/>
        <w:spacing w:line="288" w:lineRule="auto"/>
        <w:jc w:val="both"/>
        <w:rPr>
          <w:rFonts w:eastAsia="Times New Roman"/>
          <w:bCs/>
          <w:color w:val="auto"/>
          <w:sz w:val="20"/>
          <w:szCs w:val="20"/>
        </w:rPr>
      </w:pPr>
      <w:r w:rsidRPr="00003319">
        <w:rPr>
          <w:rFonts w:eastAsia="Times New Roman"/>
          <w:bCs/>
          <w:color w:val="auto"/>
          <w:sz w:val="20"/>
          <w:szCs w:val="20"/>
        </w:rPr>
        <w:t xml:space="preserve">Our belief is that a simpler method of communication should be made available to members that is more likely to be understood by the average member.  The objective should be to encourage members to continue to engage with pensions savings rather than be daunted by the complexity. </w:t>
      </w:r>
    </w:p>
    <w:p w14:paraId="30008571" w14:textId="77777777" w:rsidR="00003319" w:rsidRPr="00003319" w:rsidRDefault="00003319" w:rsidP="00003319">
      <w:pPr>
        <w:autoSpaceDE w:val="0"/>
        <w:autoSpaceDN w:val="0"/>
        <w:adjustRightInd w:val="0"/>
        <w:spacing w:line="288" w:lineRule="auto"/>
        <w:jc w:val="both"/>
        <w:rPr>
          <w:rFonts w:eastAsia="Times New Roman"/>
          <w:bCs/>
          <w:color w:val="auto"/>
          <w:sz w:val="20"/>
          <w:szCs w:val="20"/>
        </w:rPr>
      </w:pPr>
    </w:p>
    <w:p w14:paraId="1F0C1A7E" w14:textId="77777777" w:rsidR="00003319" w:rsidRPr="00003319" w:rsidRDefault="00003319" w:rsidP="00003319">
      <w:pPr>
        <w:autoSpaceDE w:val="0"/>
        <w:autoSpaceDN w:val="0"/>
        <w:adjustRightInd w:val="0"/>
        <w:spacing w:line="288" w:lineRule="auto"/>
        <w:jc w:val="both"/>
        <w:rPr>
          <w:rFonts w:eastAsia="Times New Roman"/>
          <w:bCs/>
          <w:color w:val="auto"/>
          <w:sz w:val="20"/>
          <w:szCs w:val="20"/>
        </w:rPr>
      </w:pPr>
      <w:r w:rsidRPr="00003319">
        <w:rPr>
          <w:rFonts w:eastAsia="Times New Roman"/>
          <w:bCs/>
          <w:color w:val="auto"/>
          <w:sz w:val="20"/>
          <w:szCs w:val="20"/>
        </w:rPr>
        <w:t>The proposals to only disclose information on underlying pooled funds on request is sensible as this information is only likely to be of interest or benefit to a small number of members. We also agree that only disclosing the top level pooled funds is sensible. The administrative burden on Trustees could be reduced however by the annual production of a list of all pooled funds invested in which could be provided to members on request, rather than personalised reports showing the pooled funds they invested in during the year. Members would be able to identify the funds they were invested in and this would enable the information to be provided to them more promptly.</w:t>
      </w:r>
    </w:p>
    <w:p w14:paraId="2E611077" w14:textId="77777777" w:rsidR="00003319" w:rsidRPr="00003319" w:rsidRDefault="00003319" w:rsidP="00003319">
      <w:pPr>
        <w:autoSpaceDE w:val="0"/>
        <w:autoSpaceDN w:val="0"/>
        <w:adjustRightInd w:val="0"/>
        <w:spacing w:line="288" w:lineRule="auto"/>
        <w:jc w:val="both"/>
        <w:rPr>
          <w:rFonts w:eastAsia="Times New Roman"/>
          <w:bCs/>
          <w:color w:val="auto"/>
          <w:sz w:val="20"/>
          <w:szCs w:val="20"/>
        </w:rPr>
      </w:pPr>
    </w:p>
    <w:p w14:paraId="5CC18403" w14:textId="77777777" w:rsidR="00003319" w:rsidRPr="00003319" w:rsidRDefault="00003319" w:rsidP="00003319">
      <w:pPr>
        <w:pStyle w:val="BarclaysBodyCopy"/>
        <w:spacing w:line="288" w:lineRule="auto"/>
        <w:jc w:val="both"/>
        <w:rPr>
          <w:color w:val="auto"/>
          <w:szCs w:val="18"/>
        </w:rPr>
      </w:pPr>
    </w:p>
    <w:sectPr w:rsidR="00003319" w:rsidRPr="00003319" w:rsidSect="00691826">
      <w:headerReference w:type="first" r:id="rId10"/>
      <w:footerReference w:type="first" r:id="rId11"/>
      <w:type w:val="continuous"/>
      <w:pgSz w:w="11899" w:h="16838"/>
      <w:pgMar w:top="1022" w:right="1138" w:bottom="1411" w:left="1642" w:header="1022"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63E05" w14:textId="77777777" w:rsidR="00EF5E79" w:rsidRDefault="00EF5E79">
      <w:pPr>
        <w:spacing w:line="240" w:lineRule="auto"/>
      </w:pPr>
      <w:r>
        <w:separator/>
      </w:r>
    </w:p>
  </w:endnote>
  <w:endnote w:type="continuationSeparator" w:id="0">
    <w:p w14:paraId="3E961A2D" w14:textId="77777777" w:rsidR="00EF5E79" w:rsidRDefault="00EF5E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clays Sans">
    <w:altName w:val="Cambria Math"/>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xpert Sans Regular">
    <w:panose1 w:val="020B0503030103020204"/>
    <w:charset w:val="00"/>
    <w:family w:val="swiss"/>
    <w:pitch w:val="variable"/>
    <w:sig w:usb0="00000003" w:usb1="00000000" w:usb2="00000000" w:usb3="00000000" w:csb0="00000001" w:csb1="00000000"/>
  </w:font>
  <w:font w:name="Expert Serif Regular">
    <w:altName w:val="Candara"/>
    <w:charset w:val="00"/>
    <w:family w:val="swiss"/>
    <w:pitch w:val="variable"/>
    <w:sig w:usb0="00000003" w:usb1="00000000" w:usb2="00000000" w:usb3="00000000" w:csb0="00000001" w:csb1="00000000"/>
  </w:font>
  <w:font w:name="Barclays Serif">
    <w:altName w:val="Candar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331E2" w14:textId="77777777" w:rsidR="002322DE" w:rsidRPr="002034DB" w:rsidRDefault="002034DB" w:rsidP="002034DB">
    <w:pPr>
      <w:pStyle w:val="BarclaysLegalCopy"/>
    </w:pPr>
    <w:r>
      <w:t xml:space="preserve">Barclays Bank PLC is authorised by the Prudential Regulation Authority and regulated by the Financial Conduct Authority and the Prudential Regulation Authority </w:t>
    </w:r>
    <w:r>
      <w:br/>
      <w:t xml:space="preserve">(Financial Services Register No. 122702). </w:t>
    </w:r>
    <w:r>
      <w:br/>
      <w:t>Registered in England. Registered No. 1026167. Registered office: 1 Churchill Place, London E14 5HP.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D8193" w14:textId="77777777" w:rsidR="00EF5E79" w:rsidRDefault="00EF5E79">
      <w:pPr>
        <w:spacing w:line="240" w:lineRule="auto"/>
      </w:pPr>
      <w:r>
        <w:separator/>
      </w:r>
    </w:p>
  </w:footnote>
  <w:footnote w:type="continuationSeparator" w:id="0">
    <w:p w14:paraId="06C0890C" w14:textId="77777777" w:rsidR="00EF5E79" w:rsidRDefault="00EF5E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54" w:type="dxa"/>
      <w:tblCellMar>
        <w:left w:w="0" w:type="dxa"/>
        <w:right w:w="0" w:type="dxa"/>
      </w:tblCellMar>
      <w:tblLook w:val="00A0" w:firstRow="1" w:lastRow="0" w:firstColumn="1" w:lastColumn="0" w:noHBand="0" w:noVBand="0"/>
    </w:tblPr>
    <w:tblGrid>
      <w:gridCol w:w="9454"/>
    </w:tblGrid>
    <w:tr w:rsidR="002322DE" w14:paraId="3EBD7456" w14:textId="77777777" w:rsidTr="00A0410E">
      <w:trPr>
        <w:trHeight w:val="624"/>
      </w:trPr>
      <w:tc>
        <w:tcPr>
          <w:tcW w:w="9454" w:type="dxa"/>
        </w:tcPr>
        <w:p w14:paraId="1B26E8CB" w14:textId="77777777" w:rsidR="002322DE" w:rsidRDefault="002322DE">
          <w:pPr>
            <w:pStyle w:val="Header"/>
          </w:pPr>
          <w:r>
            <w:rPr>
              <w:noProof/>
              <w:lang w:eastAsia="en-GB"/>
            </w:rPr>
            <w:drawing>
              <wp:anchor distT="0" distB="0" distL="114300" distR="114300" simplePos="0" relativeHeight="251657728" behindDoc="0" locked="1" layoutInCell="1" allowOverlap="1">
                <wp:simplePos x="0" y="0"/>
                <wp:positionH relativeFrom="page">
                  <wp:posOffset>-305435</wp:posOffset>
                </wp:positionH>
                <wp:positionV relativeFrom="page">
                  <wp:posOffset>50800</wp:posOffset>
                </wp:positionV>
                <wp:extent cx="1422400" cy="241300"/>
                <wp:effectExtent l="19050" t="0" r="6350" b="0"/>
                <wp:wrapNone/>
                <wp:docPr id="1" name="Picture 1" descr="Bar_06_COL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_06_COL_POS.png"/>
                        <pic:cNvPicPr>
                          <a:picLocks noChangeAspect="1" noChangeArrowheads="1"/>
                        </pic:cNvPicPr>
                      </pic:nvPicPr>
                      <pic:blipFill>
                        <a:blip r:embed="rId1"/>
                        <a:srcRect/>
                        <a:stretch>
                          <a:fillRect/>
                        </a:stretch>
                      </pic:blipFill>
                      <pic:spPr bwMode="auto">
                        <a:xfrm>
                          <a:off x="0" y="0"/>
                          <a:ext cx="1422400" cy="241300"/>
                        </a:xfrm>
                        <a:prstGeom prst="rect">
                          <a:avLst/>
                        </a:prstGeom>
                        <a:noFill/>
                      </pic:spPr>
                    </pic:pic>
                  </a:graphicData>
                </a:graphic>
              </wp:anchor>
            </w:drawing>
          </w:r>
        </w:p>
      </w:tc>
    </w:tr>
    <w:tr w:rsidR="00A0410E" w14:paraId="09AA9B34" w14:textId="77777777" w:rsidTr="00A0410E">
      <w:trPr>
        <w:trHeight w:val="624"/>
      </w:trPr>
      <w:tc>
        <w:tcPr>
          <w:tcW w:w="9454" w:type="dxa"/>
        </w:tcPr>
        <w:p w14:paraId="0524D0C0" w14:textId="77777777" w:rsidR="00A0410E" w:rsidRPr="00A0410E" w:rsidRDefault="00A0410E" w:rsidP="00A0410E">
          <w:pPr>
            <w:rPr>
              <w:b/>
            </w:rPr>
          </w:pPr>
          <w:r w:rsidRPr="00A0410E">
            <w:rPr>
              <w:b/>
            </w:rPr>
            <w:t xml:space="preserve">A SUMMARY OF BARCLAYS’ RESPONSE TO </w:t>
          </w:r>
          <w:r>
            <w:rPr>
              <w:b/>
            </w:rPr>
            <w:t>THE DEPARTMENT FOR WORK AND PENSIONS</w:t>
          </w:r>
          <w:r w:rsidRPr="00A0410E">
            <w:rPr>
              <w:b/>
            </w:rPr>
            <w:t xml:space="preserve"> CONSULTATION ON </w:t>
          </w:r>
          <w:r>
            <w:rPr>
              <w:b/>
            </w:rPr>
            <w:t>OCCUPATIONAL PENSIONS: IMPROVING DISCLOSURE OF COSTS, CHARGES AND INVESTMENTS</w:t>
          </w:r>
        </w:p>
        <w:p w14:paraId="7069107E" w14:textId="77777777" w:rsidR="00A0410E" w:rsidRDefault="00A0410E">
          <w:pPr>
            <w:pStyle w:val="Header"/>
            <w:rPr>
              <w:noProof/>
              <w:lang w:eastAsia="en-GB"/>
            </w:rPr>
          </w:pPr>
        </w:p>
      </w:tc>
    </w:tr>
  </w:tbl>
  <w:p w14:paraId="7110BCE1" w14:textId="77777777" w:rsidR="002322DE" w:rsidRDefault="00232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B1469"/>
    <w:multiLevelType w:val="hybridMultilevel"/>
    <w:tmpl w:val="74462D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9949E8"/>
    <w:multiLevelType w:val="hybridMultilevel"/>
    <w:tmpl w:val="3C04F20A"/>
    <w:lvl w:ilvl="0" w:tplc="DD047302">
      <w:start w:val="1"/>
      <w:numFmt w:val="bullet"/>
      <w:lvlText w:val=""/>
      <w:lvlJc w:val="left"/>
      <w:pPr>
        <w:tabs>
          <w:tab w:val="num" w:pos="720"/>
        </w:tabs>
        <w:ind w:left="720" w:hanging="360"/>
      </w:pPr>
      <w:rPr>
        <w:rFonts w:ascii="Symbol" w:hAnsi="Symbol" w:hint="default"/>
        <w:sz w:val="18"/>
      </w:rPr>
    </w:lvl>
    <w:lvl w:ilvl="1" w:tplc="682E26F6" w:tentative="1">
      <w:start w:val="1"/>
      <w:numFmt w:val="bullet"/>
      <w:lvlText w:val="•"/>
      <w:lvlJc w:val="left"/>
      <w:pPr>
        <w:tabs>
          <w:tab w:val="num" w:pos="1440"/>
        </w:tabs>
        <w:ind w:left="1440" w:hanging="360"/>
      </w:pPr>
      <w:rPr>
        <w:rFonts w:ascii="Arial" w:hAnsi="Arial" w:hint="default"/>
      </w:rPr>
    </w:lvl>
    <w:lvl w:ilvl="2" w:tplc="2856C0E8" w:tentative="1">
      <w:start w:val="1"/>
      <w:numFmt w:val="bullet"/>
      <w:lvlText w:val="•"/>
      <w:lvlJc w:val="left"/>
      <w:pPr>
        <w:tabs>
          <w:tab w:val="num" w:pos="2160"/>
        </w:tabs>
        <w:ind w:left="2160" w:hanging="360"/>
      </w:pPr>
      <w:rPr>
        <w:rFonts w:ascii="Arial" w:hAnsi="Arial" w:hint="default"/>
      </w:rPr>
    </w:lvl>
    <w:lvl w:ilvl="3" w:tplc="1C24E54C" w:tentative="1">
      <w:start w:val="1"/>
      <w:numFmt w:val="bullet"/>
      <w:lvlText w:val="•"/>
      <w:lvlJc w:val="left"/>
      <w:pPr>
        <w:tabs>
          <w:tab w:val="num" w:pos="2880"/>
        </w:tabs>
        <w:ind w:left="2880" w:hanging="360"/>
      </w:pPr>
      <w:rPr>
        <w:rFonts w:ascii="Arial" w:hAnsi="Arial" w:hint="default"/>
      </w:rPr>
    </w:lvl>
    <w:lvl w:ilvl="4" w:tplc="254E8674" w:tentative="1">
      <w:start w:val="1"/>
      <w:numFmt w:val="bullet"/>
      <w:lvlText w:val="•"/>
      <w:lvlJc w:val="left"/>
      <w:pPr>
        <w:tabs>
          <w:tab w:val="num" w:pos="3600"/>
        </w:tabs>
        <w:ind w:left="3600" w:hanging="360"/>
      </w:pPr>
      <w:rPr>
        <w:rFonts w:ascii="Arial" w:hAnsi="Arial" w:hint="default"/>
      </w:rPr>
    </w:lvl>
    <w:lvl w:ilvl="5" w:tplc="A9162842" w:tentative="1">
      <w:start w:val="1"/>
      <w:numFmt w:val="bullet"/>
      <w:lvlText w:val="•"/>
      <w:lvlJc w:val="left"/>
      <w:pPr>
        <w:tabs>
          <w:tab w:val="num" w:pos="4320"/>
        </w:tabs>
        <w:ind w:left="4320" w:hanging="360"/>
      </w:pPr>
      <w:rPr>
        <w:rFonts w:ascii="Arial" w:hAnsi="Arial" w:hint="default"/>
      </w:rPr>
    </w:lvl>
    <w:lvl w:ilvl="6" w:tplc="ED30FED2" w:tentative="1">
      <w:start w:val="1"/>
      <w:numFmt w:val="bullet"/>
      <w:lvlText w:val="•"/>
      <w:lvlJc w:val="left"/>
      <w:pPr>
        <w:tabs>
          <w:tab w:val="num" w:pos="5040"/>
        </w:tabs>
        <w:ind w:left="5040" w:hanging="360"/>
      </w:pPr>
      <w:rPr>
        <w:rFonts w:ascii="Arial" w:hAnsi="Arial" w:hint="default"/>
      </w:rPr>
    </w:lvl>
    <w:lvl w:ilvl="7" w:tplc="884C6540" w:tentative="1">
      <w:start w:val="1"/>
      <w:numFmt w:val="bullet"/>
      <w:lvlText w:val="•"/>
      <w:lvlJc w:val="left"/>
      <w:pPr>
        <w:tabs>
          <w:tab w:val="num" w:pos="5760"/>
        </w:tabs>
        <w:ind w:left="5760" w:hanging="360"/>
      </w:pPr>
      <w:rPr>
        <w:rFonts w:ascii="Arial" w:hAnsi="Arial" w:hint="default"/>
      </w:rPr>
    </w:lvl>
    <w:lvl w:ilvl="8" w:tplc="E46CA5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D60249"/>
    <w:multiLevelType w:val="hybridMultilevel"/>
    <w:tmpl w:val="D4A8B43A"/>
    <w:lvl w:ilvl="0" w:tplc="AC0833CC">
      <w:start w:val="1"/>
      <w:numFmt w:val="bullet"/>
      <w:lvlText w:val="•"/>
      <w:lvlJc w:val="left"/>
      <w:pPr>
        <w:tabs>
          <w:tab w:val="num" w:pos="720"/>
        </w:tabs>
        <w:ind w:left="720" w:hanging="360"/>
      </w:pPr>
      <w:rPr>
        <w:rFonts w:ascii="Arial" w:hAnsi="Arial" w:hint="default"/>
      </w:rPr>
    </w:lvl>
    <w:lvl w:ilvl="1" w:tplc="682E26F6" w:tentative="1">
      <w:start w:val="1"/>
      <w:numFmt w:val="bullet"/>
      <w:lvlText w:val="•"/>
      <w:lvlJc w:val="left"/>
      <w:pPr>
        <w:tabs>
          <w:tab w:val="num" w:pos="1440"/>
        </w:tabs>
        <w:ind w:left="1440" w:hanging="360"/>
      </w:pPr>
      <w:rPr>
        <w:rFonts w:ascii="Arial" w:hAnsi="Arial" w:hint="default"/>
      </w:rPr>
    </w:lvl>
    <w:lvl w:ilvl="2" w:tplc="2856C0E8" w:tentative="1">
      <w:start w:val="1"/>
      <w:numFmt w:val="bullet"/>
      <w:lvlText w:val="•"/>
      <w:lvlJc w:val="left"/>
      <w:pPr>
        <w:tabs>
          <w:tab w:val="num" w:pos="2160"/>
        </w:tabs>
        <w:ind w:left="2160" w:hanging="360"/>
      </w:pPr>
      <w:rPr>
        <w:rFonts w:ascii="Arial" w:hAnsi="Arial" w:hint="default"/>
      </w:rPr>
    </w:lvl>
    <w:lvl w:ilvl="3" w:tplc="1C24E54C" w:tentative="1">
      <w:start w:val="1"/>
      <w:numFmt w:val="bullet"/>
      <w:lvlText w:val="•"/>
      <w:lvlJc w:val="left"/>
      <w:pPr>
        <w:tabs>
          <w:tab w:val="num" w:pos="2880"/>
        </w:tabs>
        <w:ind w:left="2880" w:hanging="360"/>
      </w:pPr>
      <w:rPr>
        <w:rFonts w:ascii="Arial" w:hAnsi="Arial" w:hint="default"/>
      </w:rPr>
    </w:lvl>
    <w:lvl w:ilvl="4" w:tplc="254E8674" w:tentative="1">
      <w:start w:val="1"/>
      <w:numFmt w:val="bullet"/>
      <w:lvlText w:val="•"/>
      <w:lvlJc w:val="left"/>
      <w:pPr>
        <w:tabs>
          <w:tab w:val="num" w:pos="3600"/>
        </w:tabs>
        <w:ind w:left="3600" w:hanging="360"/>
      </w:pPr>
      <w:rPr>
        <w:rFonts w:ascii="Arial" w:hAnsi="Arial" w:hint="default"/>
      </w:rPr>
    </w:lvl>
    <w:lvl w:ilvl="5" w:tplc="A9162842" w:tentative="1">
      <w:start w:val="1"/>
      <w:numFmt w:val="bullet"/>
      <w:lvlText w:val="•"/>
      <w:lvlJc w:val="left"/>
      <w:pPr>
        <w:tabs>
          <w:tab w:val="num" w:pos="4320"/>
        </w:tabs>
        <w:ind w:left="4320" w:hanging="360"/>
      </w:pPr>
      <w:rPr>
        <w:rFonts w:ascii="Arial" w:hAnsi="Arial" w:hint="default"/>
      </w:rPr>
    </w:lvl>
    <w:lvl w:ilvl="6" w:tplc="ED30FED2" w:tentative="1">
      <w:start w:val="1"/>
      <w:numFmt w:val="bullet"/>
      <w:lvlText w:val="•"/>
      <w:lvlJc w:val="left"/>
      <w:pPr>
        <w:tabs>
          <w:tab w:val="num" w:pos="5040"/>
        </w:tabs>
        <w:ind w:left="5040" w:hanging="360"/>
      </w:pPr>
      <w:rPr>
        <w:rFonts w:ascii="Arial" w:hAnsi="Arial" w:hint="default"/>
      </w:rPr>
    </w:lvl>
    <w:lvl w:ilvl="7" w:tplc="884C6540" w:tentative="1">
      <w:start w:val="1"/>
      <w:numFmt w:val="bullet"/>
      <w:lvlText w:val="•"/>
      <w:lvlJc w:val="left"/>
      <w:pPr>
        <w:tabs>
          <w:tab w:val="num" w:pos="5760"/>
        </w:tabs>
        <w:ind w:left="5760" w:hanging="360"/>
      </w:pPr>
      <w:rPr>
        <w:rFonts w:ascii="Arial" w:hAnsi="Arial" w:hint="default"/>
      </w:rPr>
    </w:lvl>
    <w:lvl w:ilvl="8" w:tplc="E46CA5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284661"/>
    <w:multiLevelType w:val="hybridMultilevel"/>
    <w:tmpl w:val="741E3890"/>
    <w:lvl w:ilvl="0" w:tplc="DD047302">
      <w:start w:val="1"/>
      <w:numFmt w:val="bullet"/>
      <w:lvlText w:val=""/>
      <w:lvlJc w:val="left"/>
      <w:pPr>
        <w:tabs>
          <w:tab w:val="num" w:pos="720"/>
        </w:tabs>
        <w:ind w:left="720" w:hanging="360"/>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284BDF"/>
    <w:multiLevelType w:val="hybridMultilevel"/>
    <w:tmpl w:val="B8926D38"/>
    <w:lvl w:ilvl="0" w:tplc="DD04730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D7643"/>
    <w:multiLevelType w:val="hybridMultilevel"/>
    <w:tmpl w:val="AFB0953C"/>
    <w:lvl w:ilvl="0" w:tplc="16C00406">
      <w:start w:val="165"/>
      <w:numFmt w:val="bullet"/>
      <w:lvlText w:val="-"/>
      <w:lvlJc w:val="left"/>
      <w:pPr>
        <w:ind w:left="720" w:hanging="360"/>
      </w:pPr>
      <w:rPr>
        <w:rFonts w:ascii="Barclays Sans" w:eastAsia="Times New Roman" w:hAnsi="Barclays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8C1906"/>
    <w:multiLevelType w:val="hybridMultilevel"/>
    <w:tmpl w:val="5308D35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DD7258"/>
    <w:multiLevelType w:val="hybridMultilevel"/>
    <w:tmpl w:val="99ACD5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59"/>
    <w:rsid w:val="00003319"/>
    <w:rsid w:val="00093C24"/>
    <w:rsid w:val="000A68E9"/>
    <w:rsid w:val="001029E7"/>
    <w:rsid w:val="0011552B"/>
    <w:rsid w:val="00123CD8"/>
    <w:rsid w:val="001A1B52"/>
    <w:rsid w:val="001C3C71"/>
    <w:rsid w:val="00201F37"/>
    <w:rsid w:val="002034DB"/>
    <w:rsid w:val="002322DE"/>
    <w:rsid w:val="00235C96"/>
    <w:rsid w:val="002422A4"/>
    <w:rsid w:val="00314770"/>
    <w:rsid w:val="00315564"/>
    <w:rsid w:val="0036372E"/>
    <w:rsid w:val="00402592"/>
    <w:rsid w:val="0041517E"/>
    <w:rsid w:val="004F3A16"/>
    <w:rsid w:val="00530BB1"/>
    <w:rsid w:val="00556795"/>
    <w:rsid w:val="0057362E"/>
    <w:rsid w:val="005821B3"/>
    <w:rsid w:val="006535D9"/>
    <w:rsid w:val="00690F03"/>
    <w:rsid w:val="00691826"/>
    <w:rsid w:val="006D0E96"/>
    <w:rsid w:val="00712959"/>
    <w:rsid w:val="0076358D"/>
    <w:rsid w:val="0077199F"/>
    <w:rsid w:val="0078056B"/>
    <w:rsid w:val="007D71C7"/>
    <w:rsid w:val="007F566B"/>
    <w:rsid w:val="008220BB"/>
    <w:rsid w:val="00822315"/>
    <w:rsid w:val="00836F41"/>
    <w:rsid w:val="00885C88"/>
    <w:rsid w:val="008C49D7"/>
    <w:rsid w:val="008D67C8"/>
    <w:rsid w:val="008F7DB5"/>
    <w:rsid w:val="009043D3"/>
    <w:rsid w:val="00906C49"/>
    <w:rsid w:val="0099643C"/>
    <w:rsid w:val="009C1C93"/>
    <w:rsid w:val="009F2FE5"/>
    <w:rsid w:val="00A0410E"/>
    <w:rsid w:val="00A07305"/>
    <w:rsid w:val="00A81A67"/>
    <w:rsid w:val="00AA5950"/>
    <w:rsid w:val="00B330B9"/>
    <w:rsid w:val="00B369FD"/>
    <w:rsid w:val="00B4352B"/>
    <w:rsid w:val="00B67B50"/>
    <w:rsid w:val="00BA1250"/>
    <w:rsid w:val="00BA1EBF"/>
    <w:rsid w:val="00BB0E47"/>
    <w:rsid w:val="00BE5447"/>
    <w:rsid w:val="00BF47BA"/>
    <w:rsid w:val="00C06C84"/>
    <w:rsid w:val="00C5217D"/>
    <w:rsid w:val="00C76DEA"/>
    <w:rsid w:val="00C905C2"/>
    <w:rsid w:val="00CC364C"/>
    <w:rsid w:val="00D06125"/>
    <w:rsid w:val="00D412F0"/>
    <w:rsid w:val="00D72D20"/>
    <w:rsid w:val="00DA51EB"/>
    <w:rsid w:val="00E24CDC"/>
    <w:rsid w:val="00E50716"/>
    <w:rsid w:val="00E75C83"/>
    <w:rsid w:val="00EA3A20"/>
    <w:rsid w:val="00EB6CB6"/>
    <w:rsid w:val="00EC2315"/>
    <w:rsid w:val="00EC4C60"/>
    <w:rsid w:val="00EC6448"/>
    <w:rsid w:val="00EC661A"/>
    <w:rsid w:val="00EE4F4F"/>
    <w:rsid w:val="00EE5F20"/>
    <w:rsid w:val="00EF5E79"/>
    <w:rsid w:val="00F10A36"/>
    <w:rsid w:val="00F66262"/>
    <w:rsid w:val="00FA2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57F2BB"/>
  <w15:docId w15:val="{D54639D4-3269-45C9-87DD-9B4AC724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3BB"/>
    <w:pPr>
      <w:spacing w:line="240" w:lineRule="exact"/>
    </w:pPr>
    <w:rPr>
      <w:rFonts w:ascii="Expert Sans Regular" w:hAnsi="Expert Sans Regular"/>
      <w:color w:val="58595B"/>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216"/>
    <w:pPr>
      <w:tabs>
        <w:tab w:val="center" w:pos="4320"/>
        <w:tab w:val="right" w:pos="8640"/>
      </w:tabs>
    </w:pPr>
  </w:style>
  <w:style w:type="character" w:customStyle="1" w:styleId="HeaderChar">
    <w:name w:val="Header Char"/>
    <w:basedOn w:val="DefaultParagraphFont"/>
    <w:link w:val="Header"/>
    <w:uiPriority w:val="99"/>
    <w:rsid w:val="003F5216"/>
  </w:style>
  <w:style w:type="paragraph" w:styleId="Footer">
    <w:name w:val="footer"/>
    <w:basedOn w:val="Normal"/>
    <w:link w:val="FooterChar"/>
    <w:uiPriority w:val="99"/>
    <w:unhideWhenUsed/>
    <w:rsid w:val="003F5216"/>
    <w:pPr>
      <w:tabs>
        <w:tab w:val="center" w:pos="4320"/>
        <w:tab w:val="right" w:pos="8640"/>
      </w:tabs>
    </w:pPr>
  </w:style>
  <w:style w:type="character" w:customStyle="1" w:styleId="FooterChar">
    <w:name w:val="Footer Char"/>
    <w:basedOn w:val="DefaultParagraphFont"/>
    <w:link w:val="Footer"/>
    <w:uiPriority w:val="99"/>
    <w:rsid w:val="003F5216"/>
  </w:style>
  <w:style w:type="paragraph" w:customStyle="1" w:styleId="BarclaysLegalCopy">
    <w:name w:val="Barclays Legal Copy"/>
    <w:basedOn w:val="Normal"/>
    <w:qFormat/>
    <w:rsid w:val="004A260E"/>
    <w:pPr>
      <w:spacing w:line="240" w:lineRule="auto"/>
    </w:pPr>
    <w:rPr>
      <w:sz w:val="12"/>
    </w:rPr>
  </w:style>
  <w:style w:type="paragraph" w:customStyle="1" w:styleId="BarclaysBodyCopy">
    <w:name w:val="Barclays Body Copy"/>
    <w:basedOn w:val="Normal"/>
    <w:qFormat/>
    <w:rsid w:val="008763BB"/>
  </w:style>
  <w:style w:type="paragraph" w:customStyle="1" w:styleId="BarclaysAddressCopy">
    <w:name w:val="Barclays Address Copy"/>
    <w:basedOn w:val="Normal"/>
    <w:qFormat/>
    <w:rsid w:val="004A260E"/>
    <w:pPr>
      <w:framePr w:hSpace="187" w:wrap="around" w:vAnchor="page" w:hAnchor="page" w:x="8790" w:y="863"/>
      <w:tabs>
        <w:tab w:val="left" w:pos="426"/>
      </w:tabs>
      <w:spacing w:line="230" w:lineRule="exact"/>
    </w:pPr>
    <w:rPr>
      <w:sz w:val="17"/>
    </w:rPr>
  </w:style>
  <w:style w:type="paragraph" w:customStyle="1" w:styleId="BarclaysAddressSignposting">
    <w:name w:val="Barclays Address Signposting"/>
    <w:basedOn w:val="Normal"/>
    <w:next w:val="Normal"/>
    <w:qFormat/>
    <w:rsid w:val="00F079F0"/>
    <w:pPr>
      <w:framePr w:hSpace="187" w:wrap="around" w:vAnchor="page" w:hAnchor="page" w:x="9001" w:y="865"/>
      <w:spacing w:line="230" w:lineRule="exact"/>
    </w:pPr>
    <w:rPr>
      <w:color w:val="00AEEF"/>
      <w:sz w:val="20"/>
    </w:rPr>
  </w:style>
  <w:style w:type="paragraph" w:customStyle="1" w:styleId="BarclaysSignposting">
    <w:name w:val="Barclays Signposting"/>
    <w:basedOn w:val="BarclaysAddressCopy"/>
    <w:qFormat/>
    <w:rsid w:val="008763BB"/>
    <w:pPr>
      <w:framePr w:wrap="around"/>
    </w:pPr>
    <w:rPr>
      <w:color w:val="00AEEF"/>
      <w:sz w:val="20"/>
    </w:rPr>
  </w:style>
  <w:style w:type="character" w:styleId="Hyperlink">
    <w:name w:val="Hyperlink"/>
    <w:basedOn w:val="DefaultParagraphFont"/>
    <w:uiPriority w:val="99"/>
    <w:unhideWhenUsed/>
    <w:rsid w:val="007D71C7"/>
    <w:rPr>
      <w:color w:val="0000FF"/>
      <w:u w:val="single"/>
    </w:rPr>
  </w:style>
  <w:style w:type="paragraph" w:styleId="CommentText">
    <w:name w:val="annotation text"/>
    <w:basedOn w:val="Normal"/>
    <w:link w:val="CommentTextChar"/>
    <w:rsid w:val="00402592"/>
    <w:pPr>
      <w:spacing w:line="240" w:lineRule="auto"/>
    </w:pPr>
    <w:rPr>
      <w:sz w:val="20"/>
      <w:szCs w:val="20"/>
    </w:rPr>
  </w:style>
  <w:style w:type="character" w:customStyle="1" w:styleId="CommentTextChar">
    <w:name w:val="Comment Text Char"/>
    <w:basedOn w:val="DefaultParagraphFont"/>
    <w:link w:val="CommentText"/>
    <w:rsid w:val="00402592"/>
    <w:rPr>
      <w:rFonts w:ascii="Expert Sans Regular" w:hAnsi="Expert Sans Regular"/>
      <w:color w:val="58595B"/>
      <w:lang w:eastAsia="en-US"/>
    </w:rPr>
  </w:style>
  <w:style w:type="paragraph" w:styleId="CommentSubject">
    <w:name w:val="annotation subject"/>
    <w:basedOn w:val="CommentText"/>
    <w:next w:val="CommentText"/>
    <w:link w:val="CommentSubjectChar"/>
    <w:rsid w:val="00402592"/>
    <w:rPr>
      <w:rFonts w:ascii="Times New Roman" w:eastAsia="Times New Roman" w:hAnsi="Times New Roman"/>
      <w:b/>
      <w:bCs/>
      <w:color w:val="auto"/>
      <w:lang w:eastAsia="en-GB"/>
    </w:rPr>
  </w:style>
  <w:style w:type="character" w:customStyle="1" w:styleId="CommentSubjectChar">
    <w:name w:val="Comment Subject Char"/>
    <w:basedOn w:val="CommentTextChar"/>
    <w:link w:val="CommentSubject"/>
    <w:rsid w:val="00402592"/>
    <w:rPr>
      <w:rFonts w:ascii="Times New Roman" w:eastAsia="Times New Roman" w:hAnsi="Times New Roman"/>
      <w:b/>
      <w:bCs/>
      <w:color w:val="58595B"/>
      <w:lang w:eastAsia="en-US"/>
    </w:rPr>
  </w:style>
  <w:style w:type="paragraph" w:customStyle="1" w:styleId="Signoff">
    <w:name w:val="Signoff"/>
    <w:basedOn w:val="Normal"/>
    <w:rsid w:val="001C3C71"/>
    <w:pPr>
      <w:keepNext/>
      <w:overflowPunct w:val="0"/>
      <w:autoSpaceDE w:val="0"/>
      <w:autoSpaceDN w:val="0"/>
      <w:adjustRightInd w:val="0"/>
      <w:spacing w:line="280" w:lineRule="exact"/>
      <w:textAlignment w:val="baseline"/>
    </w:pPr>
    <w:rPr>
      <w:rFonts w:ascii="Expert Serif Regular" w:eastAsia="Times New Roman" w:hAnsi="Expert Serif Regular"/>
      <w:color w:val="auto"/>
      <w:sz w:val="20"/>
      <w:szCs w:val="22"/>
    </w:rPr>
  </w:style>
  <w:style w:type="character" w:styleId="FollowedHyperlink">
    <w:name w:val="FollowedHyperlink"/>
    <w:rsid w:val="001C3C71"/>
    <w:rPr>
      <w:rFonts w:ascii="Barclays Serif" w:hAnsi="Barclays Serif"/>
      <w:dstrike w:val="0"/>
      <w:color w:val="auto"/>
      <w:u w:val="none"/>
      <w:vertAlign w:val="baseline"/>
    </w:rPr>
  </w:style>
  <w:style w:type="paragraph" w:styleId="BodyText">
    <w:name w:val="Body Text"/>
    <w:basedOn w:val="Normal"/>
    <w:link w:val="BodyTextChar"/>
    <w:rsid w:val="001C3C71"/>
    <w:pPr>
      <w:overflowPunct w:val="0"/>
      <w:autoSpaceDE w:val="0"/>
      <w:autoSpaceDN w:val="0"/>
      <w:adjustRightInd w:val="0"/>
      <w:spacing w:after="280" w:line="280" w:lineRule="exact"/>
      <w:textAlignment w:val="baseline"/>
    </w:pPr>
    <w:rPr>
      <w:rFonts w:ascii="Expert Serif Regular" w:eastAsia="Times New Roman" w:hAnsi="Expert Serif Regular"/>
      <w:color w:val="auto"/>
      <w:sz w:val="20"/>
      <w:szCs w:val="22"/>
    </w:rPr>
  </w:style>
  <w:style w:type="character" w:customStyle="1" w:styleId="BodyTextChar">
    <w:name w:val="Body Text Char"/>
    <w:basedOn w:val="DefaultParagraphFont"/>
    <w:link w:val="BodyText"/>
    <w:rsid w:val="001C3C71"/>
    <w:rPr>
      <w:rFonts w:ascii="Expert Serif Regular" w:eastAsia="Times New Roman" w:hAnsi="Expert Serif Regular"/>
      <w:szCs w:val="22"/>
      <w:lang w:eastAsia="en-US"/>
    </w:rPr>
  </w:style>
  <w:style w:type="paragraph" w:styleId="BalloonText">
    <w:name w:val="Balloon Text"/>
    <w:basedOn w:val="Normal"/>
    <w:link w:val="BalloonTextChar"/>
    <w:rsid w:val="00235C9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35C96"/>
    <w:rPr>
      <w:rFonts w:ascii="Tahoma" w:hAnsi="Tahoma" w:cs="Tahoma"/>
      <w:color w:val="58595B"/>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07658">
      <w:bodyDiv w:val="1"/>
      <w:marLeft w:val="0"/>
      <w:marRight w:val="0"/>
      <w:marTop w:val="0"/>
      <w:marBottom w:val="0"/>
      <w:divBdr>
        <w:top w:val="none" w:sz="0" w:space="0" w:color="auto"/>
        <w:left w:val="none" w:sz="0" w:space="0" w:color="auto"/>
        <w:bottom w:val="none" w:sz="0" w:space="0" w:color="auto"/>
        <w:right w:val="none" w:sz="0" w:space="0" w:color="auto"/>
      </w:divBdr>
    </w:div>
    <w:div w:id="18263883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01953951\Local%20Settings\Temp\wz0d22\Barclays%20LETTERHEAD%20A4%20May%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C1B73-F85F-4DED-BE89-44167B88437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81C4C4B-BEA9-452C-802A-45A9FE613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D50308-5E8C-44A3-A277-E8D84D8B32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Barclays LETTERHEAD A4 May 2012.dot</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Landor</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Barclays PLC user</dc:creator>
  <cp:keywords/>
  <cp:lastModifiedBy>Bolton, Louise : Corporate Communications</cp:lastModifiedBy>
  <cp:revision>2</cp:revision>
  <cp:lastPrinted>2017-12-11T09:26:00Z</cp:lastPrinted>
  <dcterms:created xsi:type="dcterms:W3CDTF">2017-12-13T13:51:00Z</dcterms:created>
  <dcterms:modified xsi:type="dcterms:W3CDTF">2017-12-13T13:51:00Z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1831513648</vt:i4>
  </property>
  <property fmtid="{D5CDD505-2E9C-101B-9397-08002B2CF9AE}" pid="3" name="_NewReviewCycle">
    <vt:lpwstr/>
  </property>
  <property fmtid="{D5CDD505-2E9C-101B-9397-08002B2CF9AE}" pid="4" name="_EmailSubject">
    <vt:lpwstr>November consultations - Government relations</vt:lpwstr>
  </property>
  <property fmtid="{D5CDD505-2E9C-101B-9397-08002B2CF9AE}" pid="5" name="_AuthorEmail">
    <vt:lpwstr>Patrick.Fitzsimons@barclayscorp.com</vt:lpwstr>
  </property>
  <property fmtid="{D5CDD505-2E9C-101B-9397-08002B2CF9AE}" pid="6" name="_AuthorEmailDisplayName">
    <vt:lpwstr>Fitzsimons, Patrick : HR</vt:lpwstr>
  </property>
  <property fmtid="{D5CDD505-2E9C-101B-9397-08002B2CF9AE}" pid="7" name="_ReviewingToolsShownOnce">
    <vt:lpwstr/>
  </property>
  <property fmtid="{D5CDD505-2E9C-101B-9397-08002B2CF9AE}" pid="8" name="MSIP_Label_c754cbb2-29ed-4ffe-af90-a08465e0dd2c_Enabled">
    <vt:lpwstr>True</vt:lpwstr>
  </property>
  <property fmtid="{D5CDD505-2E9C-101B-9397-08002B2CF9AE}" pid="9" name="MSIP_Label_c754cbb2-29ed-4ffe-af90-a08465e0dd2c_SiteId">
    <vt:lpwstr>c4b62f1d-01e0-4107-a0cc-5ac886858b23</vt:lpwstr>
  </property>
  <property fmtid="{D5CDD505-2E9C-101B-9397-08002B2CF9AE}" pid="10" name="MSIP_Label_c754cbb2-29ed-4ffe-af90-a08465e0dd2c_Ref">
    <vt:lpwstr>https://api.informationprotection.azure.com/api/c4b62f1d-01e0-4107-a0cc-5ac886858b23</vt:lpwstr>
  </property>
  <property fmtid="{D5CDD505-2E9C-101B-9397-08002B2CF9AE}" pid="11" name="MSIP_Label_c754cbb2-29ed-4ffe-af90-a08465e0dd2c_SetBy">
    <vt:lpwstr>H06834167@client.barclayscorp.com</vt:lpwstr>
  </property>
  <property fmtid="{D5CDD505-2E9C-101B-9397-08002B2CF9AE}" pid="12" name="MSIP_Label_c754cbb2-29ed-4ffe-af90-a08465e0dd2c_SetDate">
    <vt:lpwstr>2017-12-13T13:51:08.3760462+00:00</vt:lpwstr>
  </property>
  <property fmtid="{D5CDD505-2E9C-101B-9397-08002B2CF9AE}" pid="13" name="MSIP_Label_c754cbb2-29ed-4ffe-af90-a08465e0dd2c_Name">
    <vt:lpwstr>Unrestricted</vt:lpwstr>
  </property>
  <property fmtid="{D5CDD505-2E9C-101B-9397-08002B2CF9AE}" pid="14" name="MSIP_Label_c754cbb2-29ed-4ffe-af90-a08465e0dd2c_Application">
    <vt:lpwstr>Microsoft Azure Information Protection</vt:lpwstr>
  </property>
  <property fmtid="{D5CDD505-2E9C-101B-9397-08002B2CF9AE}" pid="15" name="MSIP_Label_c754cbb2-29ed-4ffe-af90-a08465e0dd2c_Extended_MSFT_Method">
    <vt:lpwstr>Automatic</vt:lpwstr>
  </property>
  <property fmtid="{D5CDD505-2E9C-101B-9397-08002B2CF9AE}" pid="16" name="BarclaysDC">
    <vt:lpwstr>Unrestricted</vt:lpwstr>
  </property>
</Properties>
</file>