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4" w:type="dxa"/>
        <w:tblInd w:w="-588" w:type="dxa"/>
        <w:tblLayout w:type="fixed"/>
        <w:tblCellMar>
          <w:left w:w="0" w:type="dxa"/>
          <w:right w:w="0" w:type="dxa"/>
        </w:tblCellMar>
        <w:tblLook w:val="0000" w:firstRow="0" w:lastRow="0" w:firstColumn="0" w:lastColumn="0" w:noHBand="0" w:noVBand="0"/>
      </w:tblPr>
      <w:tblGrid>
        <w:gridCol w:w="596"/>
        <w:gridCol w:w="6761"/>
        <w:gridCol w:w="2737"/>
      </w:tblGrid>
      <w:tr w:rsidR="003200BC" w:rsidRPr="003200BC" w14:paraId="40C84D1E" w14:textId="77777777" w:rsidTr="003200BC">
        <w:trPr>
          <w:cantSplit/>
          <w:trHeight w:val="1341"/>
        </w:trPr>
        <w:tc>
          <w:tcPr>
            <w:tcW w:w="7357" w:type="dxa"/>
            <w:gridSpan w:val="2"/>
          </w:tcPr>
          <w:p w14:paraId="40C84D16" w14:textId="77777777" w:rsidR="003200BC" w:rsidRPr="003200BC" w:rsidRDefault="003200BC" w:rsidP="003200BC">
            <w:pPr>
              <w:overflowPunct w:val="0"/>
              <w:autoSpaceDE w:val="0"/>
              <w:autoSpaceDN w:val="0"/>
              <w:adjustRightInd w:val="0"/>
              <w:spacing w:after="0" w:line="240" w:lineRule="auto"/>
              <w:jc w:val="both"/>
              <w:textAlignment w:val="baseline"/>
              <w:rPr>
                <w:rFonts w:ascii="Expert Sans Regular" w:eastAsia="Times New Roman" w:hAnsi="Expert Sans Regular" w:cs="Arial"/>
                <w:sz w:val="20"/>
              </w:rPr>
            </w:pPr>
            <w:bookmarkStart w:id="0" w:name="_GoBack"/>
            <w:bookmarkEnd w:id="0"/>
            <w:r w:rsidRPr="003200BC">
              <w:rPr>
                <w:rFonts w:ascii="Expert Sans Regular" w:eastAsia="Times New Roman" w:hAnsi="Expert Sans Regular" w:cs="Arial"/>
                <w:noProof/>
                <w:sz w:val="20"/>
                <w:lang w:eastAsia="en-GB"/>
              </w:rPr>
              <w:drawing>
                <wp:inline distT="0" distB="0" distL="0" distR="0" wp14:anchorId="40C84DBA" wp14:editId="40C84DBB">
                  <wp:extent cx="1885950" cy="323850"/>
                  <wp:effectExtent l="0" t="0" r="0" b="0"/>
                  <wp:docPr id="3" name="Picture 3" descr="BARCLAYS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LAYS C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323850"/>
                          </a:xfrm>
                          <a:prstGeom prst="rect">
                            <a:avLst/>
                          </a:prstGeom>
                          <a:noFill/>
                          <a:ln>
                            <a:noFill/>
                          </a:ln>
                        </pic:spPr>
                      </pic:pic>
                    </a:graphicData>
                  </a:graphic>
                </wp:inline>
              </w:drawing>
            </w:r>
          </w:p>
        </w:tc>
        <w:tc>
          <w:tcPr>
            <w:tcW w:w="2737" w:type="dxa"/>
            <w:vMerge w:val="restart"/>
          </w:tcPr>
          <w:p w14:paraId="40C84D17" w14:textId="77777777" w:rsidR="003200BC" w:rsidRPr="003200BC" w:rsidRDefault="003200BC" w:rsidP="003200BC">
            <w:pPr>
              <w:overflowPunct w:val="0"/>
              <w:autoSpaceDE w:val="0"/>
              <w:autoSpaceDN w:val="0"/>
              <w:adjustRightInd w:val="0"/>
              <w:spacing w:after="0" w:line="240" w:lineRule="auto"/>
              <w:jc w:val="both"/>
              <w:textAlignment w:val="baseline"/>
              <w:rPr>
                <w:rFonts w:ascii="Expert Sans Regular" w:eastAsia="Times New Roman" w:hAnsi="Expert Sans Regular" w:cs="Arial"/>
                <w:color w:val="003D6D"/>
                <w:sz w:val="20"/>
                <w:szCs w:val="20"/>
              </w:rPr>
            </w:pPr>
          </w:p>
          <w:p w14:paraId="40C84D18" w14:textId="77777777" w:rsidR="003200BC" w:rsidRPr="003200BC" w:rsidRDefault="003200BC" w:rsidP="003200BC">
            <w:pPr>
              <w:overflowPunct w:val="0"/>
              <w:autoSpaceDE w:val="0"/>
              <w:autoSpaceDN w:val="0"/>
              <w:adjustRightInd w:val="0"/>
              <w:spacing w:after="0" w:line="240" w:lineRule="auto"/>
              <w:textAlignment w:val="baseline"/>
              <w:rPr>
                <w:rFonts w:ascii="Expert Sans Regular" w:eastAsia="Times New Roman" w:hAnsi="Expert Sans Regular" w:cs="Arial"/>
                <w:color w:val="003D6D"/>
                <w:sz w:val="18"/>
                <w:szCs w:val="18"/>
              </w:rPr>
            </w:pPr>
            <w:r w:rsidRPr="003200BC">
              <w:rPr>
                <w:rFonts w:ascii="Expert Sans Regular" w:eastAsia="Times New Roman" w:hAnsi="Expert Sans Regular" w:cs="Arial"/>
                <w:color w:val="003D6D"/>
                <w:sz w:val="18"/>
                <w:szCs w:val="18"/>
              </w:rPr>
              <w:t>Barclays PLC</w:t>
            </w:r>
          </w:p>
          <w:p w14:paraId="40C84D19" w14:textId="77777777" w:rsidR="003200BC" w:rsidRPr="003200BC" w:rsidRDefault="003200BC" w:rsidP="003200BC">
            <w:pPr>
              <w:overflowPunct w:val="0"/>
              <w:autoSpaceDE w:val="0"/>
              <w:autoSpaceDN w:val="0"/>
              <w:adjustRightInd w:val="0"/>
              <w:spacing w:after="0" w:line="240" w:lineRule="auto"/>
              <w:textAlignment w:val="baseline"/>
              <w:rPr>
                <w:rFonts w:ascii="Expert Sans Regular" w:eastAsia="Times New Roman" w:hAnsi="Expert Sans Regular" w:cs="Arial"/>
                <w:color w:val="003D6D"/>
                <w:sz w:val="18"/>
                <w:szCs w:val="18"/>
              </w:rPr>
            </w:pPr>
            <w:smartTag w:uri="urn:schemas-microsoft-com:office:smarttags" w:element="Street">
              <w:smartTag w:uri="urn:schemas-microsoft-com:office:smarttags" w:element="address">
                <w:r w:rsidRPr="003200BC">
                  <w:rPr>
                    <w:rFonts w:ascii="Expert Sans Regular" w:eastAsia="Times New Roman" w:hAnsi="Expert Sans Regular" w:cs="Arial"/>
                    <w:color w:val="003D6D"/>
                    <w:sz w:val="18"/>
                    <w:szCs w:val="18"/>
                  </w:rPr>
                  <w:t>One Churchill Place</w:t>
                </w:r>
              </w:smartTag>
            </w:smartTag>
          </w:p>
          <w:p w14:paraId="40C84D1A" w14:textId="77777777" w:rsidR="003200BC" w:rsidRPr="003200BC" w:rsidRDefault="003200BC" w:rsidP="003200BC">
            <w:pPr>
              <w:overflowPunct w:val="0"/>
              <w:autoSpaceDE w:val="0"/>
              <w:autoSpaceDN w:val="0"/>
              <w:adjustRightInd w:val="0"/>
              <w:spacing w:after="0" w:line="240" w:lineRule="auto"/>
              <w:textAlignment w:val="baseline"/>
              <w:rPr>
                <w:rFonts w:ascii="Expert Sans Regular" w:eastAsia="Times New Roman" w:hAnsi="Expert Sans Regular" w:cs="Arial"/>
                <w:color w:val="003D6D"/>
                <w:sz w:val="18"/>
                <w:szCs w:val="18"/>
              </w:rPr>
            </w:pPr>
            <w:smartTag w:uri="urn:schemas-microsoft-com:office:smarttags" w:element="City">
              <w:smartTag w:uri="urn:schemas-microsoft-com:office:smarttags" w:element="place">
                <w:r w:rsidRPr="003200BC">
                  <w:rPr>
                    <w:rFonts w:ascii="Expert Sans Regular" w:eastAsia="Times New Roman" w:hAnsi="Expert Sans Regular" w:cs="Arial"/>
                    <w:color w:val="003D6D"/>
                    <w:sz w:val="18"/>
                    <w:szCs w:val="18"/>
                  </w:rPr>
                  <w:t>London</w:t>
                </w:r>
              </w:smartTag>
            </w:smartTag>
          </w:p>
          <w:p w14:paraId="40C84D1B" w14:textId="77777777" w:rsidR="003200BC" w:rsidRPr="003200BC" w:rsidRDefault="003200BC" w:rsidP="003200BC">
            <w:pPr>
              <w:overflowPunct w:val="0"/>
              <w:autoSpaceDE w:val="0"/>
              <w:autoSpaceDN w:val="0"/>
              <w:adjustRightInd w:val="0"/>
              <w:spacing w:after="0" w:line="240" w:lineRule="auto"/>
              <w:textAlignment w:val="baseline"/>
              <w:rPr>
                <w:rFonts w:ascii="Expert Sans Regular" w:eastAsia="Times New Roman" w:hAnsi="Expert Sans Regular" w:cs="Arial"/>
                <w:color w:val="003D6D"/>
                <w:sz w:val="18"/>
                <w:szCs w:val="18"/>
              </w:rPr>
            </w:pPr>
            <w:r w:rsidRPr="003200BC">
              <w:rPr>
                <w:rFonts w:ascii="Expert Sans Regular" w:eastAsia="Times New Roman" w:hAnsi="Expert Sans Regular" w:cs="Arial"/>
                <w:color w:val="003D6D"/>
                <w:sz w:val="18"/>
                <w:szCs w:val="18"/>
              </w:rPr>
              <w:t>E14 5HP</w:t>
            </w:r>
          </w:p>
          <w:p w14:paraId="40C84D1C" w14:textId="77777777" w:rsidR="003200BC" w:rsidRPr="003200BC" w:rsidRDefault="003200BC" w:rsidP="003200BC">
            <w:pPr>
              <w:overflowPunct w:val="0"/>
              <w:autoSpaceDE w:val="0"/>
              <w:autoSpaceDN w:val="0"/>
              <w:adjustRightInd w:val="0"/>
              <w:spacing w:after="0" w:line="240" w:lineRule="auto"/>
              <w:textAlignment w:val="baseline"/>
              <w:rPr>
                <w:rFonts w:ascii="Expert Sans Regular" w:eastAsia="Times New Roman" w:hAnsi="Expert Sans Regular" w:cs="Arial"/>
                <w:color w:val="003D6D"/>
                <w:sz w:val="20"/>
                <w:szCs w:val="20"/>
              </w:rPr>
            </w:pPr>
          </w:p>
          <w:p w14:paraId="40C84D1D" w14:textId="77777777" w:rsidR="003200BC" w:rsidRPr="003200BC" w:rsidRDefault="003200BC" w:rsidP="003200BC">
            <w:pPr>
              <w:overflowPunct w:val="0"/>
              <w:autoSpaceDE w:val="0"/>
              <w:autoSpaceDN w:val="0"/>
              <w:adjustRightInd w:val="0"/>
              <w:spacing w:after="0" w:line="240" w:lineRule="auto"/>
              <w:textAlignment w:val="baseline"/>
              <w:rPr>
                <w:rFonts w:ascii="Expert Sans Regular" w:eastAsia="Times New Roman" w:hAnsi="Expert Sans Regular" w:cs="Arial"/>
                <w:color w:val="003D6D"/>
                <w:sz w:val="18"/>
                <w:szCs w:val="14"/>
              </w:rPr>
            </w:pPr>
            <w:r w:rsidRPr="003200BC">
              <w:rPr>
                <w:rFonts w:ascii="Expert Sans Regular" w:eastAsia="Times New Roman" w:hAnsi="Expert Sans Regular" w:cs="Arial"/>
                <w:color w:val="003D6D"/>
                <w:sz w:val="20"/>
                <w:szCs w:val="20"/>
              </w:rPr>
              <w:t>www.barclays.com</w:t>
            </w:r>
          </w:p>
        </w:tc>
      </w:tr>
      <w:tr w:rsidR="003200BC" w:rsidRPr="003200BC" w14:paraId="40C84D22" w14:textId="77777777" w:rsidTr="003200BC">
        <w:trPr>
          <w:gridBefore w:val="1"/>
          <w:wBefore w:w="596" w:type="dxa"/>
          <w:cantSplit/>
        </w:trPr>
        <w:tc>
          <w:tcPr>
            <w:tcW w:w="6761" w:type="dxa"/>
          </w:tcPr>
          <w:p w14:paraId="40C84D1F" w14:textId="77777777" w:rsidR="003200BC" w:rsidRPr="003200BC" w:rsidRDefault="003200BC" w:rsidP="003200BC">
            <w:pPr>
              <w:overflowPunct w:val="0"/>
              <w:autoSpaceDE w:val="0"/>
              <w:autoSpaceDN w:val="0"/>
              <w:adjustRightInd w:val="0"/>
              <w:spacing w:after="0" w:line="240" w:lineRule="auto"/>
              <w:jc w:val="both"/>
              <w:textAlignment w:val="baseline"/>
              <w:rPr>
                <w:rFonts w:ascii="Expert Sans Regular" w:eastAsia="Times New Roman" w:hAnsi="Expert Sans Regular" w:cs="Arial"/>
                <w:noProof/>
                <w:sz w:val="20"/>
                <w:szCs w:val="20"/>
              </w:rPr>
            </w:pPr>
          </w:p>
          <w:p w14:paraId="40C84D20" w14:textId="77777777" w:rsidR="003200BC" w:rsidRPr="003200BC" w:rsidRDefault="003200BC" w:rsidP="003200BC">
            <w:pPr>
              <w:overflowPunct w:val="0"/>
              <w:autoSpaceDE w:val="0"/>
              <w:autoSpaceDN w:val="0"/>
              <w:adjustRightInd w:val="0"/>
              <w:spacing w:after="0" w:line="240" w:lineRule="auto"/>
              <w:jc w:val="both"/>
              <w:textAlignment w:val="baseline"/>
              <w:rPr>
                <w:rFonts w:ascii="Expert Sans Regular" w:eastAsia="Times New Roman" w:hAnsi="Expert Sans Regular" w:cs="Arial"/>
                <w:b/>
                <w:noProof/>
                <w:sz w:val="20"/>
                <w:szCs w:val="20"/>
              </w:rPr>
            </w:pPr>
            <w:r w:rsidRPr="003200BC">
              <w:rPr>
                <w:rFonts w:ascii="Expert Sans Regular" w:eastAsia="Times New Roman" w:hAnsi="Expert Sans Regular" w:cs="Arial"/>
                <w:b/>
                <w:noProof/>
                <w:sz w:val="20"/>
                <w:szCs w:val="20"/>
              </w:rPr>
              <w:t>PRIVATE &amp; CONFIDENTIAL</w:t>
            </w:r>
          </w:p>
        </w:tc>
        <w:tc>
          <w:tcPr>
            <w:tcW w:w="2737" w:type="dxa"/>
            <w:vMerge/>
          </w:tcPr>
          <w:p w14:paraId="40C84D21" w14:textId="77777777" w:rsidR="003200BC" w:rsidRPr="003200BC" w:rsidRDefault="003200BC" w:rsidP="003200BC">
            <w:pPr>
              <w:overflowPunct w:val="0"/>
              <w:autoSpaceDE w:val="0"/>
              <w:autoSpaceDN w:val="0"/>
              <w:adjustRightInd w:val="0"/>
              <w:spacing w:after="0" w:line="240" w:lineRule="auto"/>
              <w:jc w:val="both"/>
              <w:textAlignment w:val="baseline"/>
              <w:rPr>
                <w:rFonts w:ascii="Expert Sans Regular" w:eastAsia="Times New Roman" w:hAnsi="Expert Sans Regular" w:cs="Arial"/>
                <w:color w:val="003D6D"/>
                <w:sz w:val="18"/>
                <w:szCs w:val="20"/>
              </w:rPr>
            </w:pPr>
          </w:p>
        </w:tc>
      </w:tr>
    </w:tbl>
    <w:p w14:paraId="40C84D23" w14:textId="77777777" w:rsidR="003200BC" w:rsidRPr="003200BC" w:rsidRDefault="003200BC" w:rsidP="003200BC">
      <w:pPr>
        <w:tabs>
          <w:tab w:val="left" w:pos="6760"/>
        </w:tabs>
        <w:rPr>
          <w:rFonts w:ascii="Expert Sans Regular" w:eastAsia="Calibri" w:hAnsi="Expert Sans Regular" w:cs="Times New Roman"/>
          <w:u w:val="single"/>
          <w:lang w:val="pt-BR"/>
        </w:rPr>
      </w:pPr>
      <w:r w:rsidRPr="003200BC">
        <w:rPr>
          <w:rFonts w:ascii="Expert Sans Regular" w:eastAsia="Calibri" w:hAnsi="Expert Sans Regular" w:cs="Times New Roman"/>
        </w:rPr>
        <w:t xml:space="preserve"> </w:t>
      </w:r>
      <w:r w:rsidRPr="003200BC">
        <w:rPr>
          <w:rFonts w:ascii="Expert Sans Regular" w:eastAsia="Calibri" w:hAnsi="Expert Sans Regular" w:cs="Times New Roman"/>
          <w:lang w:val="pt-BR"/>
        </w:rPr>
        <w:tab/>
      </w:r>
    </w:p>
    <w:p w14:paraId="40C84D24" w14:textId="77777777" w:rsidR="003200BC" w:rsidRPr="003200BC" w:rsidRDefault="00182963" w:rsidP="003200BC">
      <w:pPr>
        <w:spacing w:after="0" w:line="240" w:lineRule="auto"/>
        <w:rPr>
          <w:rFonts w:ascii="Expert Sans Regular" w:eastAsia="Times New Roman" w:hAnsi="Expert Sans Regular" w:cs="Arial"/>
        </w:rPr>
      </w:pPr>
      <w:r>
        <w:rPr>
          <w:rFonts w:ascii="Expert Sans Regular" w:eastAsia="Times New Roman" w:hAnsi="Expert Sans Regular" w:cs="Arial"/>
        </w:rPr>
        <w:t>c/o Jean St Rose</w:t>
      </w:r>
    </w:p>
    <w:p w14:paraId="40C84D25" w14:textId="77777777" w:rsidR="00182963" w:rsidRDefault="00182963" w:rsidP="003200BC">
      <w:pPr>
        <w:spacing w:after="0" w:line="240" w:lineRule="auto"/>
        <w:rPr>
          <w:rFonts w:ascii="Expert Sans Regular" w:eastAsia="Times New Roman" w:hAnsi="Expert Sans Regular" w:cs="Arial"/>
        </w:rPr>
      </w:pPr>
    </w:p>
    <w:p w14:paraId="40C84D26" w14:textId="77777777" w:rsidR="00182963" w:rsidRDefault="00182963" w:rsidP="003200BC">
      <w:pPr>
        <w:spacing w:after="0" w:line="240" w:lineRule="auto"/>
        <w:rPr>
          <w:rFonts w:ascii="Expert Sans Regular" w:eastAsia="Times New Roman" w:hAnsi="Expert Sans Regular" w:cs="Arial"/>
        </w:rPr>
      </w:pPr>
      <w:r>
        <w:rPr>
          <w:rFonts w:ascii="Expert Sans Regular" w:eastAsia="Times New Roman" w:hAnsi="Expert Sans Regular" w:cs="Arial"/>
        </w:rPr>
        <w:t>FAO Green Paper Consultation team</w:t>
      </w:r>
    </w:p>
    <w:p w14:paraId="40C84D27" w14:textId="77777777" w:rsidR="003200BC" w:rsidRPr="003200BC" w:rsidRDefault="003200BC" w:rsidP="003200BC">
      <w:pPr>
        <w:spacing w:after="0" w:line="240" w:lineRule="auto"/>
        <w:rPr>
          <w:rFonts w:ascii="Expert Sans Regular" w:eastAsia="Times New Roman" w:hAnsi="Expert Sans Regular" w:cs="Arial"/>
        </w:rPr>
      </w:pPr>
      <w:r w:rsidRPr="003200BC">
        <w:rPr>
          <w:rFonts w:ascii="Expert Sans Regular" w:eastAsia="Times New Roman" w:hAnsi="Expert Sans Regular" w:cs="Arial"/>
        </w:rPr>
        <w:t>Work &amp; Health Unit</w:t>
      </w:r>
    </w:p>
    <w:p w14:paraId="40C84D28" w14:textId="77777777" w:rsidR="003200BC" w:rsidRPr="003200BC" w:rsidRDefault="003200BC" w:rsidP="003200BC">
      <w:pPr>
        <w:spacing w:after="0" w:line="240" w:lineRule="auto"/>
        <w:rPr>
          <w:rFonts w:ascii="Expert Sans Regular" w:eastAsia="Times New Roman" w:hAnsi="Expert Sans Regular" w:cs="Arial"/>
        </w:rPr>
      </w:pPr>
      <w:r w:rsidRPr="003200BC">
        <w:rPr>
          <w:rFonts w:ascii="Expert Sans Regular" w:eastAsia="Times New Roman" w:hAnsi="Expert Sans Regular" w:cs="Arial"/>
        </w:rPr>
        <w:t>Department for Work and Pensions</w:t>
      </w:r>
    </w:p>
    <w:p w14:paraId="40C84D29" w14:textId="77777777" w:rsidR="003200BC" w:rsidRPr="003200BC" w:rsidRDefault="003200BC" w:rsidP="003200BC">
      <w:pPr>
        <w:spacing w:after="0" w:line="240" w:lineRule="auto"/>
        <w:rPr>
          <w:rFonts w:ascii="Expert Sans Regular" w:eastAsia="Times New Roman" w:hAnsi="Expert Sans Regular" w:cs="Arial"/>
        </w:rPr>
      </w:pPr>
      <w:r w:rsidRPr="003200BC">
        <w:rPr>
          <w:rFonts w:ascii="Expert Sans Regular" w:eastAsia="Times New Roman" w:hAnsi="Expert Sans Regular" w:cs="Arial"/>
        </w:rPr>
        <w:t xml:space="preserve">Caxton House </w:t>
      </w:r>
    </w:p>
    <w:p w14:paraId="40C84D2A" w14:textId="77777777" w:rsidR="003200BC" w:rsidRPr="003200BC" w:rsidRDefault="003200BC" w:rsidP="003200BC">
      <w:pPr>
        <w:spacing w:after="0" w:line="240" w:lineRule="auto"/>
        <w:rPr>
          <w:rFonts w:ascii="Expert Sans Regular" w:eastAsia="Times New Roman" w:hAnsi="Expert Sans Regular" w:cs="Arial"/>
        </w:rPr>
      </w:pPr>
      <w:r w:rsidRPr="003200BC">
        <w:rPr>
          <w:rFonts w:ascii="Expert Sans Regular" w:eastAsia="Times New Roman" w:hAnsi="Expert Sans Regular" w:cs="Arial"/>
        </w:rPr>
        <w:t xml:space="preserve">6-12 Tothill Street </w:t>
      </w:r>
    </w:p>
    <w:p w14:paraId="40C84D2B" w14:textId="77777777" w:rsidR="003200BC" w:rsidRPr="003200BC" w:rsidRDefault="003200BC" w:rsidP="003200BC">
      <w:pPr>
        <w:spacing w:after="0" w:line="240" w:lineRule="auto"/>
        <w:rPr>
          <w:rFonts w:ascii="Expert Sans Regular" w:eastAsia="Times New Roman" w:hAnsi="Expert Sans Regular" w:cs="Arial"/>
        </w:rPr>
      </w:pPr>
      <w:r w:rsidRPr="003200BC">
        <w:rPr>
          <w:rFonts w:ascii="Expert Sans Regular" w:eastAsia="Times New Roman" w:hAnsi="Expert Sans Regular" w:cs="Arial"/>
        </w:rPr>
        <w:t>London SW1H 9NA</w:t>
      </w:r>
    </w:p>
    <w:p w14:paraId="40C84D2C" w14:textId="77777777" w:rsidR="003200BC" w:rsidRPr="003200BC" w:rsidRDefault="003200BC" w:rsidP="003200BC">
      <w:pPr>
        <w:tabs>
          <w:tab w:val="left" w:pos="6760"/>
        </w:tabs>
        <w:spacing w:after="0"/>
        <w:rPr>
          <w:rFonts w:ascii="Expert Sans Regular" w:eastAsia="Calibri" w:hAnsi="Expert Sans Regular" w:cs="Times New Roman"/>
          <w:lang w:val="pt-BR"/>
        </w:rPr>
      </w:pPr>
    </w:p>
    <w:p w14:paraId="40C84D2D" w14:textId="77777777" w:rsidR="003200BC" w:rsidRPr="003200BC" w:rsidRDefault="003600F7" w:rsidP="003200BC">
      <w:pPr>
        <w:tabs>
          <w:tab w:val="left" w:pos="6525"/>
        </w:tabs>
        <w:spacing w:after="0"/>
        <w:jc w:val="both"/>
        <w:rPr>
          <w:rFonts w:ascii="Expert Sans Regular" w:eastAsia="Calibri" w:hAnsi="Expert Sans Regular" w:cs="Times New Roman"/>
        </w:rPr>
      </w:pPr>
      <w:r>
        <w:rPr>
          <w:rFonts w:ascii="Expert Sans Regular" w:eastAsia="Calibri" w:hAnsi="Expert Sans Regular" w:cs="Times New Roman"/>
        </w:rPr>
        <w:tab/>
      </w:r>
      <w:r>
        <w:rPr>
          <w:rFonts w:ascii="Expert Sans Regular" w:eastAsia="Calibri" w:hAnsi="Expert Sans Regular" w:cs="Times New Roman"/>
        </w:rPr>
        <w:tab/>
        <w:t>17 February 2017</w:t>
      </w:r>
    </w:p>
    <w:p w14:paraId="40C84D2E" w14:textId="77777777" w:rsidR="003200BC" w:rsidRPr="003200BC" w:rsidRDefault="003200BC" w:rsidP="003200BC">
      <w:pPr>
        <w:spacing w:after="0"/>
        <w:jc w:val="both"/>
        <w:rPr>
          <w:rFonts w:ascii="Expert Sans Regular" w:eastAsia="Calibri" w:hAnsi="Expert Sans Regular" w:cs="Times New Roman"/>
        </w:rPr>
      </w:pPr>
    </w:p>
    <w:p w14:paraId="40C84D2F" w14:textId="77777777" w:rsidR="003200BC" w:rsidRPr="003200BC" w:rsidRDefault="003200BC" w:rsidP="003200BC">
      <w:pPr>
        <w:spacing w:after="0"/>
        <w:jc w:val="both"/>
        <w:rPr>
          <w:rFonts w:ascii="Expert Sans Regular" w:eastAsia="Calibri" w:hAnsi="Expert Sans Regular" w:cs="Times New Roman"/>
        </w:rPr>
      </w:pPr>
    </w:p>
    <w:p w14:paraId="40C84D30" w14:textId="77777777" w:rsidR="003200BC" w:rsidRPr="003200BC" w:rsidRDefault="003200BC" w:rsidP="003200BC">
      <w:pPr>
        <w:autoSpaceDE w:val="0"/>
        <w:autoSpaceDN w:val="0"/>
        <w:adjustRightInd w:val="0"/>
        <w:spacing w:after="0"/>
        <w:rPr>
          <w:rFonts w:ascii="Expert Sans Regular" w:eastAsia="Calibri" w:hAnsi="Expert Sans Regular" w:cs="Times New Roman"/>
        </w:rPr>
      </w:pPr>
      <w:r w:rsidRPr="003200BC">
        <w:rPr>
          <w:rFonts w:ascii="Expert Sans Regular" w:eastAsia="Calibri" w:hAnsi="Expert Sans Regular" w:cs="Times New Roman"/>
        </w:rPr>
        <w:t xml:space="preserve">Dear </w:t>
      </w:r>
      <w:r w:rsidR="00182963">
        <w:rPr>
          <w:rFonts w:ascii="Expert Sans Regular" w:eastAsia="Calibri" w:hAnsi="Expert Sans Regular" w:cs="Times New Roman"/>
        </w:rPr>
        <w:t>Sir/Madam</w:t>
      </w:r>
      <w:r w:rsidRPr="003200BC">
        <w:rPr>
          <w:rFonts w:ascii="Expert Sans Regular" w:eastAsia="Calibri" w:hAnsi="Expert Sans Regular" w:cs="Times New Roman"/>
        </w:rPr>
        <w:t>,</w:t>
      </w:r>
    </w:p>
    <w:p w14:paraId="40C84D31" w14:textId="77777777" w:rsidR="003200BC" w:rsidRPr="003200BC" w:rsidRDefault="003200BC" w:rsidP="003200BC">
      <w:pPr>
        <w:autoSpaceDE w:val="0"/>
        <w:autoSpaceDN w:val="0"/>
        <w:adjustRightInd w:val="0"/>
        <w:spacing w:after="0"/>
        <w:ind w:left="-851" w:firstLine="851"/>
        <w:rPr>
          <w:rFonts w:ascii="Expert Sans Regular" w:eastAsia="Calibri" w:hAnsi="Expert Sans Regular" w:cs="Times New Roman"/>
          <w:b/>
        </w:rPr>
      </w:pPr>
    </w:p>
    <w:p w14:paraId="40C84D32" w14:textId="77777777" w:rsidR="003200BC" w:rsidRPr="003200BC" w:rsidRDefault="003200BC" w:rsidP="003200BC">
      <w:pPr>
        <w:autoSpaceDE w:val="0"/>
        <w:autoSpaceDN w:val="0"/>
        <w:adjustRightInd w:val="0"/>
        <w:spacing w:after="0"/>
        <w:jc w:val="both"/>
        <w:rPr>
          <w:rFonts w:ascii="Expert Sans Regular" w:eastAsia="Calibri" w:hAnsi="Expert Sans Regular" w:cs="Times New Roman"/>
          <w:b/>
          <w:bCs/>
        </w:rPr>
      </w:pPr>
      <w:r w:rsidRPr="003200BC">
        <w:rPr>
          <w:rFonts w:ascii="Expert Sans Regular" w:eastAsia="Calibri" w:hAnsi="Expert Sans Regular" w:cs="Times New Roman"/>
          <w:b/>
          <w:bCs/>
        </w:rPr>
        <w:t>Barclays’ consultation response: Improving Lives –</w:t>
      </w:r>
      <w:r>
        <w:rPr>
          <w:rFonts w:ascii="Expert Sans Regular" w:eastAsia="Calibri" w:hAnsi="Expert Sans Regular" w:cs="Times New Roman"/>
          <w:b/>
          <w:bCs/>
        </w:rPr>
        <w:t xml:space="preserve"> </w:t>
      </w:r>
      <w:r w:rsidRPr="003200BC">
        <w:rPr>
          <w:rFonts w:ascii="Expert Sans Regular" w:eastAsia="Calibri" w:hAnsi="Expert Sans Regular" w:cs="Times New Roman"/>
          <w:b/>
          <w:bCs/>
        </w:rPr>
        <w:t>the Work, Health and Disability Green Paper</w:t>
      </w:r>
    </w:p>
    <w:p w14:paraId="40C84D33" w14:textId="77777777" w:rsidR="003200BC" w:rsidRPr="003200BC" w:rsidRDefault="003200BC" w:rsidP="003200BC">
      <w:pPr>
        <w:autoSpaceDE w:val="0"/>
        <w:autoSpaceDN w:val="0"/>
        <w:adjustRightInd w:val="0"/>
        <w:spacing w:after="0"/>
        <w:jc w:val="both"/>
        <w:rPr>
          <w:rFonts w:ascii="Barclays Serif" w:eastAsia="Calibri" w:hAnsi="Barclays Serif" w:cs="Times New Roman"/>
        </w:rPr>
      </w:pPr>
    </w:p>
    <w:p w14:paraId="40C84D34" w14:textId="77777777" w:rsidR="003200BC" w:rsidRPr="003200BC" w:rsidRDefault="003200BC" w:rsidP="003200BC">
      <w:pPr>
        <w:autoSpaceDE w:val="0"/>
        <w:autoSpaceDN w:val="0"/>
        <w:adjustRightInd w:val="0"/>
        <w:spacing w:after="0"/>
        <w:jc w:val="both"/>
        <w:rPr>
          <w:rFonts w:ascii="Barclays Serif" w:eastAsia="Calibri" w:hAnsi="Barclays Serif" w:cs="Times New Roman"/>
        </w:rPr>
      </w:pPr>
      <w:r w:rsidRPr="003200BC">
        <w:rPr>
          <w:rFonts w:ascii="Barclays Serif" w:eastAsia="Calibri" w:hAnsi="Barclays Serif" w:cs="Times New Roman"/>
        </w:rPr>
        <w:t>Please find attached Barclays</w:t>
      </w:r>
      <w:r>
        <w:rPr>
          <w:rFonts w:ascii="Barclays Serif" w:eastAsia="Calibri" w:hAnsi="Barclays Serif" w:cs="Times New Roman"/>
        </w:rPr>
        <w:t>’</w:t>
      </w:r>
      <w:r w:rsidRPr="003200BC">
        <w:rPr>
          <w:rFonts w:ascii="Barclays Serif" w:eastAsia="Calibri" w:hAnsi="Barclays Serif" w:cs="Times New Roman"/>
        </w:rPr>
        <w:t xml:space="preserve"> response to the Department for Work and Pensions and the Department of Health’s consultation on </w:t>
      </w:r>
      <w:r w:rsidR="00732B36">
        <w:rPr>
          <w:rFonts w:ascii="Barclays Serif" w:eastAsia="Calibri" w:hAnsi="Barclays Serif" w:cs="Times New Roman"/>
        </w:rPr>
        <w:t xml:space="preserve">the Green Paper looking at how to </w:t>
      </w:r>
      <w:r w:rsidRPr="003200BC">
        <w:rPr>
          <w:rFonts w:ascii="Barclays Serif" w:eastAsia="Calibri" w:hAnsi="Barclays Serif" w:cs="Times New Roman"/>
        </w:rPr>
        <w:t>halv</w:t>
      </w:r>
      <w:r w:rsidR="00732B36">
        <w:rPr>
          <w:rFonts w:ascii="Barclays Serif" w:eastAsia="Calibri" w:hAnsi="Barclays Serif" w:cs="Times New Roman"/>
        </w:rPr>
        <w:t>e</w:t>
      </w:r>
      <w:r w:rsidRPr="003200BC">
        <w:rPr>
          <w:rFonts w:ascii="Barclays Serif" w:eastAsia="Calibri" w:hAnsi="Barclays Serif" w:cs="Times New Roman"/>
        </w:rPr>
        <w:t xml:space="preserve"> the disability employment gap. </w:t>
      </w:r>
    </w:p>
    <w:p w14:paraId="40C84D35" w14:textId="77777777" w:rsidR="003200BC" w:rsidRPr="003200BC" w:rsidRDefault="003200BC" w:rsidP="003200BC">
      <w:pPr>
        <w:autoSpaceDE w:val="0"/>
        <w:autoSpaceDN w:val="0"/>
        <w:adjustRightInd w:val="0"/>
        <w:spacing w:after="0"/>
        <w:jc w:val="both"/>
        <w:rPr>
          <w:rFonts w:ascii="Barclays Serif" w:eastAsia="Calibri" w:hAnsi="Barclays Serif" w:cs="Times New Roman"/>
        </w:rPr>
      </w:pPr>
    </w:p>
    <w:p w14:paraId="40C84D36" w14:textId="77777777" w:rsidR="003200BC" w:rsidRPr="003200BC" w:rsidRDefault="003200BC" w:rsidP="003200BC">
      <w:pPr>
        <w:autoSpaceDE w:val="0"/>
        <w:autoSpaceDN w:val="0"/>
        <w:adjustRightInd w:val="0"/>
        <w:spacing w:after="0"/>
        <w:jc w:val="both"/>
        <w:rPr>
          <w:rFonts w:ascii="Barclays Serif" w:eastAsia="Calibri" w:hAnsi="Barclays Serif" w:cs="Times New Roman"/>
        </w:rPr>
      </w:pPr>
      <w:r w:rsidRPr="003200BC">
        <w:rPr>
          <w:rFonts w:ascii="Barclays Serif" w:eastAsia="Calibri" w:hAnsi="Barclays Serif" w:cs="Times New Roman"/>
        </w:rPr>
        <w:t xml:space="preserve">We welcome the opportunity to respond to this consultation, and are pleased to see both Departments taking action on the important issue of increasing employment opportunities for those with disabilities. </w:t>
      </w:r>
    </w:p>
    <w:p w14:paraId="40C84D37" w14:textId="77777777" w:rsidR="003200BC" w:rsidRPr="003200BC" w:rsidRDefault="003200BC" w:rsidP="003200BC">
      <w:pPr>
        <w:autoSpaceDE w:val="0"/>
        <w:autoSpaceDN w:val="0"/>
        <w:adjustRightInd w:val="0"/>
        <w:spacing w:after="0"/>
        <w:jc w:val="both"/>
        <w:rPr>
          <w:rFonts w:ascii="Barclays Serif" w:eastAsia="Calibri" w:hAnsi="Barclays Serif" w:cs="Times New Roman"/>
        </w:rPr>
      </w:pPr>
      <w:r w:rsidRPr="003200BC">
        <w:rPr>
          <w:rFonts w:ascii="Barclays Serif" w:eastAsia="Calibri" w:hAnsi="Barclays Serif" w:cs="Times New Roman"/>
        </w:rPr>
        <w:br/>
        <w:t xml:space="preserve">We trust that you find Barclays’ contribution of assistance.  If you would like to discuss any element of our submission further, please contact </w:t>
      </w:r>
      <w:hyperlink r:id="rId12" w:history="1">
        <w:r w:rsidRPr="003200BC">
          <w:rPr>
            <w:rFonts w:ascii="Barclays Serif" w:eastAsia="Calibri" w:hAnsi="Barclays Serif" w:cs="Times New Roman"/>
            <w:color w:val="0563C1"/>
            <w:u w:val="single"/>
          </w:rPr>
          <w:t>paulette.cohen@barclays.com</w:t>
        </w:r>
      </w:hyperlink>
      <w:r w:rsidRPr="003200BC">
        <w:rPr>
          <w:rFonts w:ascii="Barclays Serif" w:eastAsia="Calibri" w:hAnsi="Barclays Serif" w:cs="Times New Roman"/>
        </w:rPr>
        <w:t xml:space="preserve">. </w:t>
      </w:r>
    </w:p>
    <w:p w14:paraId="40C84D38" w14:textId="77777777" w:rsidR="003200BC" w:rsidRPr="003200BC" w:rsidRDefault="003200BC" w:rsidP="003200BC">
      <w:pPr>
        <w:autoSpaceDE w:val="0"/>
        <w:autoSpaceDN w:val="0"/>
        <w:adjustRightInd w:val="0"/>
        <w:spacing w:after="0"/>
        <w:jc w:val="both"/>
        <w:rPr>
          <w:rFonts w:ascii="Barclays Serif" w:eastAsia="Calibri" w:hAnsi="Barclays Serif" w:cs="Times New Roman"/>
        </w:rPr>
      </w:pPr>
    </w:p>
    <w:p w14:paraId="40C84D39" w14:textId="77777777" w:rsidR="003200BC" w:rsidRPr="003200BC" w:rsidRDefault="003200BC" w:rsidP="003200BC">
      <w:pPr>
        <w:autoSpaceDE w:val="0"/>
        <w:autoSpaceDN w:val="0"/>
        <w:adjustRightInd w:val="0"/>
        <w:spacing w:after="0"/>
        <w:rPr>
          <w:rFonts w:ascii="Barclays Serif" w:eastAsia="Calibri" w:hAnsi="Barclays Serif" w:cs="Barclays Serif"/>
        </w:rPr>
      </w:pPr>
      <w:r w:rsidRPr="003200BC">
        <w:rPr>
          <w:rFonts w:ascii="Barclays Serif" w:eastAsia="Calibri" w:hAnsi="Barclays Serif" w:cs="Barclays Serif"/>
        </w:rPr>
        <w:t xml:space="preserve">Yours </w:t>
      </w:r>
      <w:r w:rsidR="00182963">
        <w:rPr>
          <w:rFonts w:ascii="Barclays Serif" w:eastAsia="Calibri" w:hAnsi="Barclays Serif" w:cs="Barclays Serif"/>
        </w:rPr>
        <w:t>faithfully</w:t>
      </w:r>
    </w:p>
    <w:p w14:paraId="40C84D3A" w14:textId="77777777" w:rsidR="003200BC" w:rsidRPr="003200BC" w:rsidRDefault="003200BC" w:rsidP="003200BC">
      <w:pPr>
        <w:autoSpaceDE w:val="0"/>
        <w:autoSpaceDN w:val="0"/>
        <w:adjustRightInd w:val="0"/>
        <w:spacing w:after="0"/>
        <w:rPr>
          <w:rFonts w:ascii="Barclays Serif" w:eastAsia="Calibri" w:hAnsi="Barclays Serif" w:cs="Barclays Serif"/>
        </w:rPr>
      </w:pPr>
    </w:p>
    <w:p w14:paraId="40C84D3B" w14:textId="77777777" w:rsidR="003200BC" w:rsidRPr="003200BC" w:rsidRDefault="003200BC" w:rsidP="003200BC">
      <w:pPr>
        <w:autoSpaceDE w:val="0"/>
        <w:autoSpaceDN w:val="0"/>
        <w:adjustRightInd w:val="0"/>
        <w:spacing w:after="0"/>
        <w:rPr>
          <w:rFonts w:ascii="Lucida Calligraphy" w:eastAsia="Calibri" w:hAnsi="Lucida Calligraphy" w:cs="Barclays Serif"/>
        </w:rPr>
      </w:pPr>
      <w:r w:rsidRPr="003200BC">
        <w:rPr>
          <w:rFonts w:ascii="Lucida Calligraphy" w:eastAsia="Calibri" w:hAnsi="Lucida Calligraphy" w:cs="Barclays Serif"/>
        </w:rPr>
        <w:t>Paulette</w:t>
      </w:r>
    </w:p>
    <w:p w14:paraId="40C84D3C" w14:textId="77777777" w:rsidR="003200BC" w:rsidRPr="003200BC" w:rsidRDefault="003200BC" w:rsidP="003200BC">
      <w:pPr>
        <w:autoSpaceDE w:val="0"/>
        <w:autoSpaceDN w:val="0"/>
        <w:adjustRightInd w:val="0"/>
        <w:spacing w:after="0"/>
        <w:rPr>
          <w:rFonts w:ascii="Barclays Serif" w:eastAsia="Calibri" w:hAnsi="Barclays Serif" w:cs="Barclays Serif"/>
        </w:rPr>
      </w:pPr>
    </w:p>
    <w:p w14:paraId="40C84D3D" w14:textId="77777777" w:rsidR="003200BC" w:rsidRPr="003200BC" w:rsidRDefault="003200BC" w:rsidP="003200BC">
      <w:pPr>
        <w:autoSpaceDE w:val="0"/>
        <w:autoSpaceDN w:val="0"/>
        <w:adjustRightInd w:val="0"/>
        <w:spacing w:after="0"/>
        <w:rPr>
          <w:rFonts w:ascii="Barclays Serif" w:eastAsia="Calibri" w:hAnsi="Barclays Serif" w:cs="Barclays Serif"/>
        </w:rPr>
      </w:pPr>
      <w:r w:rsidRPr="003200BC">
        <w:rPr>
          <w:rFonts w:ascii="Barclays Serif" w:eastAsia="Calibri" w:hAnsi="Barclays Serif" w:cs="Barclays Serif"/>
        </w:rPr>
        <w:t>Paulette Cohen</w:t>
      </w:r>
    </w:p>
    <w:p w14:paraId="40C84D3E" w14:textId="77777777" w:rsidR="003200BC" w:rsidRPr="003200BC" w:rsidRDefault="003200BC" w:rsidP="003200BC">
      <w:pPr>
        <w:autoSpaceDE w:val="0"/>
        <w:autoSpaceDN w:val="0"/>
        <w:adjustRightInd w:val="0"/>
        <w:spacing w:after="0"/>
        <w:rPr>
          <w:rFonts w:ascii="Barclays Serif" w:eastAsia="Calibri" w:hAnsi="Barclays Serif" w:cs="Barclays Serif"/>
        </w:rPr>
      </w:pPr>
      <w:r w:rsidRPr="003200BC">
        <w:rPr>
          <w:rFonts w:ascii="Barclays Serif" w:eastAsia="Calibri" w:hAnsi="Barclays Serif" w:cs="Barclays Serif"/>
        </w:rPr>
        <w:t>Director, Diversity and Inclusion</w:t>
      </w:r>
    </w:p>
    <w:p w14:paraId="40C84D3F" w14:textId="77777777" w:rsidR="003200BC" w:rsidRPr="003200BC" w:rsidRDefault="003200BC" w:rsidP="003200BC">
      <w:pPr>
        <w:autoSpaceDE w:val="0"/>
        <w:autoSpaceDN w:val="0"/>
        <w:adjustRightInd w:val="0"/>
        <w:spacing w:after="0"/>
        <w:rPr>
          <w:rFonts w:ascii="Barclays Serif" w:eastAsia="Calibri" w:hAnsi="Barclays Serif" w:cs="Barclays Serif"/>
        </w:rPr>
      </w:pPr>
      <w:r w:rsidRPr="003200BC">
        <w:rPr>
          <w:rFonts w:ascii="Barclays Serif" w:eastAsia="Calibri" w:hAnsi="Barclays Serif" w:cs="Barclays Serif"/>
        </w:rPr>
        <w:t>Barclays</w:t>
      </w:r>
    </w:p>
    <w:p w14:paraId="40C84D40" w14:textId="77777777" w:rsidR="003200BC" w:rsidRPr="003200BC" w:rsidRDefault="003200BC" w:rsidP="003200BC">
      <w:pPr>
        <w:autoSpaceDE w:val="0"/>
        <w:autoSpaceDN w:val="0"/>
        <w:adjustRightInd w:val="0"/>
        <w:spacing w:after="0"/>
        <w:rPr>
          <w:rFonts w:ascii="Calibri" w:eastAsia="Calibri" w:hAnsi="Calibri" w:cs="Barclays Serif"/>
          <w:noProof/>
          <w:lang w:eastAsia="en-GB"/>
        </w:rPr>
      </w:pPr>
    </w:p>
    <w:p w14:paraId="40C84D41" w14:textId="77777777" w:rsidR="003200BC" w:rsidRDefault="003200BC" w:rsidP="003200BC">
      <w:pPr>
        <w:rPr>
          <w:rFonts w:cs="Barclays Serif"/>
          <w:noProof/>
          <w:lang w:eastAsia="en-GB"/>
        </w:rPr>
      </w:pPr>
      <w:r>
        <w:rPr>
          <w:rFonts w:ascii="Expert Sans Regular" w:hAnsi="Expert Sans Regular"/>
          <w:b/>
          <w:sz w:val="28"/>
          <w:szCs w:val="21"/>
        </w:rPr>
        <w:br w:type="page"/>
      </w:r>
    </w:p>
    <w:p w14:paraId="40C84D42" w14:textId="77777777" w:rsidR="008A7F92" w:rsidRPr="009335DA" w:rsidRDefault="008A7F92" w:rsidP="009335DA">
      <w:pPr>
        <w:spacing w:after="0"/>
        <w:jc w:val="center"/>
        <w:rPr>
          <w:rFonts w:ascii="Expert Sans Regular" w:hAnsi="Expert Sans Regular"/>
          <w:b/>
          <w:sz w:val="28"/>
          <w:szCs w:val="21"/>
        </w:rPr>
      </w:pPr>
      <w:r w:rsidRPr="009335DA">
        <w:rPr>
          <w:rFonts w:ascii="Expert Sans Regular" w:hAnsi="Expert Sans Regular"/>
          <w:b/>
          <w:sz w:val="28"/>
          <w:szCs w:val="21"/>
        </w:rPr>
        <w:lastRenderedPageBreak/>
        <w:t>Department for Work and Pensions and Department of Health</w:t>
      </w:r>
    </w:p>
    <w:p w14:paraId="40C84D43" w14:textId="77777777" w:rsidR="00BB0E30" w:rsidRDefault="008A7F92" w:rsidP="009335DA">
      <w:pPr>
        <w:spacing w:after="0"/>
        <w:jc w:val="center"/>
        <w:rPr>
          <w:rFonts w:ascii="Expert Sans Regular" w:hAnsi="Expert Sans Regular"/>
          <w:sz w:val="28"/>
          <w:szCs w:val="21"/>
        </w:rPr>
      </w:pPr>
      <w:r w:rsidRPr="009335DA">
        <w:rPr>
          <w:rFonts w:ascii="Expert Sans Regular" w:hAnsi="Expert Sans Regular"/>
          <w:sz w:val="28"/>
          <w:szCs w:val="21"/>
        </w:rPr>
        <w:t xml:space="preserve">Barclays response to: Improving Lives </w:t>
      </w:r>
    </w:p>
    <w:p w14:paraId="40C84D44" w14:textId="77777777" w:rsidR="008A7F92" w:rsidRPr="009335DA" w:rsidRDefault="008A7F92" w:rsidP="009335DA">
      <w:pPr>
        <w:jc w:val="center"/>
        <w:rPr>
          <w:rFonts w:ascii="Expert Sans Regular" w:hAnsi="Expert Sans Regular"/>
          <w:sz w:val="28"/>
          <w:szCs w:val="21"/>
        </w:rPr>
      </w:pPr>
      <w:r w:rsidRPr="009335DA">
        <w:rPr>
          <w:rFonts w:ascii="Expert Sans Regular" w:hAnsi="Expert Sans Regular"/>
          <w:sz w:val="28"/>
          <w:szCs w:val="21"/>
        </w:rPr>
        <w:t>- The Work, Health and Disability Green Paper</w:t>
      </w:r>
    </w:p>
    <w:p w14:paraId="40C84D45" w14:textId="77777777" w:rsidR="00BF646B" w:rsidRPr="009335DA" w:rsidRDefault="00BF646B" w:rsidP="008A7F92">
      <w:pPr>
        <w:spacing w:after="0" w:line="240" w:lineRule="auto"/>
        <w:rPr>
          <w:rFonts w:ascii="Expert Sans Regular" w:hAnsi="Expert Sans Regular" w:cs="Arial"/>
          <w:b/>
          <w:bCs/>
          <w:sz w:val="24"/>
          <w:szCs w:val="21"/>
        </w:rPr>
      </w:pPr>
      <w:r w:rsidRPr="009335DA">
        <w:rPr>
          <w:rFonts w:ascii="Expert Sans Regular" w:hAnsi="Expert Sans Regular" w:cs="Arial"/>
          <w:b/>
          <w:bCs/>
          <w:sz w:val="24"/>
          <w:szCs w:val="21"/>
        </w:rPr>
        <w:t>Introduction</w:t>
      </w:r>
    </w:p>
    <w:p w14:paraId="40C84D46" w14:textId="77777777" w:rsidR="00BF646B" w:rsidRDefault="00BF646B" w:rsidP="008A7F92">
      <w:pPr>
        <w:spacing w:after="0" w:line="240" w:lineRule="auto"/>
        <w:rPr>
          <w:rFonts w:ascii="Expert Sans Regular" w:hAnsi="Expert Sans Regular" w:cs="Arial"/>
          <w:bCs/>
          <w:sz w:val="21"/>
          <w:szCs w:val="21"/>
        </w:rPr>
      </w:pPr>
    </w:p>
    <w:p w14:paraId="40C84D47" w14:textId="77777777" w:rsidR="008A7F92" w:rsidRPr="00A426F9" w:rsidRDefault="008A7F92" w:rsidP="008A7F92">
      <w:pPr>
        <w:spacing w:after="0" w:line="240" w:lineRule="auto"/>
        <w:rPr>
          <w:rFonts w:ascii="Expert Sans Regular" w:hAnsi="Expert Sans Regular" w:cs="Arial"/>
          <w:bCs/>
          <w:sz w:val="21"/>
          <w:szCs w:val="21"/>
        </w:rPr>
      </w:pPr>
      <w:r w:rsidRPr="00A426F9">
        <w:rPr>
          <w:rFonts w:ascii="Expert Sans Regular" w:hAnsi="Expert Sans Regular" w:cs="Arial"/>
          <w:bCs/>
          <w:sz w:val="21"/>
          <w:szCs w:val="21"/>
        </w:rPr>
        <w:t>Improving Lives – the Work, Health and Disability Green Paper was published on 31 October</w:t>
      </w:r>
      <w:r w:rsidR="00A426F9">
        <w:rPr>
          <w:rFonts w:ascii="Expert Sans Regular" w:hAnsi="Expert Sans Regular" w:cs="Arial"/>
          <w:bCs/>
          <w:sz w:val="21"/>
          <w:szCs w:val="21"/>
        </w:rPr>
        <w:t xml:space="preserve"> 2016</w:t>
      </w:r>
      <w:r w:rsidRPr="00A426F9">
        <w:rPr>
          <w:rFonts w:ascii="Expert Sans Regular" w:hAnsi="Expert Sans Regular" w:cs="Arial"/>
          <w:bCs/>
          <w:sz w:val="21"/>
          <w:szCs w:val="21"/>
        </w:rPr>
        <w:t xml:space="preserve"> by the Department of Work and Pensions and the Department of Health, and reflects the Government’s approach to work, health and disability. </w:t>
      </w:r>
    </w:p>
    <w:p w14:paraId="40C84D48" w14:textId="77777777" w:rsidR="008A7F92" w:rsidRPr="00A426F9" w:rsidRDefault="008A7F92" w:rsidP="008A7F92">
      <w:pPr>
        <w:spacing w:after="0" w:line="240" w:lineRule="auto"/>
        <w:rPr>
          <w:rFonts w:ascii="Expert Sans Regular" w:hAnsi="Expert Sans Regular" w:cs="Arial"/>
          <w:bCs/>
          <w:sz w:val="21"/>
          <w:szCs w:val="21"/>
        </w:rPr>
      </w:pPr>
    </w:p>
    <w:p w14:paraId="40C84D49" w14:textId="77777777" w:rsidR="008A7F92" w:rsidRPr="008A7F92" w:rsidRDefault="008A7F92" w:rsidP="008A7F92">
      <w:pPr>
        <w:spacing w:after="0" w:line="240" w:lineRule="auto"/>
        <w:rPr>
          <w:rFonts w:ascii="Expert Sans Regular" w:hAnsi="Expert Sans Regular" w:cs="Arial"/>
          <w:bCs/>
          <w:sz w:val="21"/>
          <w:szCs w:val="21"/>
        </w:rPr>
      </w:pPr>
      <w:r w:rsidRPr="00A426F9">
        <w:rPr>
          <w:rFonts w:ascii="Expert Sans Regular" w:hAnsi="Expert Sans Regular" w:cs="Arial"/>
          <w:bCs/>
          <w:sz w:val="21"/>
          <w:szCs w:val="21"/>
        </w:rPr>
        <w:t>Barclays has contributed to discussions to date as a participant in the Expert Advisory Group. A</w:t>
      </w:r>
      <w:r w:rsidR="00A426F9">
        <w:rPr>
          <w:rFonts w:ascii="Expert Sans Regular" w:hAnsi="Expert Sans Regular" w:cs="Arial"/>
          <w:bCs/>
          <w:sz w:val="21"/>
          <w:szCs w:val="21"/>
        </w:rPr>
        <w:t xml:space="preserve"> case study of Barclays</w:t>
      </w:r>
      <w:r w:rsidR="00B1159A">
        <w:rPr>
          <w:rFonts w:ascii="Expert Sans Regular" w:hAnsi="Expert Sans Regular" w:cs="Arial"/>
          <w:bCs/>
          <w:sz w:val="21"/>
          <w:szCs w:val="21"/>
        </w:rPr>
        <w:t>’</w:t>
      </w:r>
      <w:r w:rsidRPr="00A426F9">
        <w:rPr>
          <w:rFonts w:ascii="Expert Sans Regular" w:hAnsi="Expert Sans Regular" w:cs="Arial"/>
          <w:bCs/>
          <w:sz w:val="21"/>
          <w:szCs w:val="21"/>
        </w:rPr>
        <w:t xml:space="preserve"> ‘This is Me’ campaign is included as a best practice example </w:t>
      </w:r>
      <w:r w:rsidRPr="008A7F92">
        <w:rPr>
          <w:rFonts w:ascii="Expert Sans Regular" w:hAnsi="Expert Sans Regular" w:cs="Arial"/>
          <w:bCs/>
          <w:sz w:val="21"/>
          <w:szCs w:val="21"/>
        </w:rPr>
        <w:t>of creating a culture that encourages disclosure.</w:t>
      </w:r>
      <w:r w:rsidR="009F5211">
        <w:rPr>
          <w:rFonts w:ascii="Expert Sans Regular" w:hAnsi="Expert Sans Regular" w:cs="Arial"/>
          <w:bCs/>
          <w:sz w:val="21"/>
          <w:szCs w:val="21"/>
        </w:rPr>
        <w:t xml:space="preserve"> We welcome the Government’s commitment to halving the disability employment gap.</w:t>
      </w:r>
    </w:p>
    <w:p w14:paraId="40C84D4A" w14:textId="77777777" w:rsidR="008A7F92" w:rsidRPr="008A7F92" w:rsidRDefault="008A7F92" w:rsidP="008A7F92">
      <w:pPr>
        <w:spacing w:after="0" w:line="240" w:lineRule="auto"/>
        <w:rPr>
          <w:rFonts w:ascii="Expert Sans Regular" w:hAnsi="Expert Sans Regular" w:cs="Arial"/>
          <w:bCs/>
          <w:sz w:val="21"/>
          <w:szCs w:val="21"/>
        </w:rPr>
      </w:pPr>
    </w:p>
    <w:p w14:paraId="40C84D4B" w14:textId="77777777" w:rsidR="00B84A8C" w:rsidRPr="008A7F92" w:rsidRDefault="00B84A8C" w:rsidP="00B84A8C">
      <w:pPr>
        <w:spacing w:after="0" w:line="240" w:lineRule="auto"/>
        <w:rPr>
          <w:rFonts w:ascii="Expert Sans Regular" w:hAnsi="Expert Sans Regular" w:cs="Arial"/>
          <w:sz w:val="21"/>
          <w:szCs w:val="21"/>
        </w:rPr>
      </w:pPr>
      <w:r w:rsidRPr="008A7F92">
        <w:rPr>
          <w:rFonts w:ascii="Expert Sans Regular" w:hAnsi="Expert Sans Regular" w:cs="Arial"/>
          <w:sz w:val="21"/>
          <w:szCs w:val="21"/>
        </w:rPr>
        <w:t>The core premise behind the Paper is that it is not a disability or health condition that should dictate the path a person can take in life – or the workplace – but their talents and aspiration to succeed.</w:t>
      </w:r>
    </w:p>
    <w:p w14:paraId="40C84D4C" w14:textId="77777777" w:rsidR="00B84A8C" w:rsidRPr="008A7F92" w:rsidRDefault="00B84A8C" w:rsidP="00B84A8C">
      <w:pPr>
        <w:spacing w:after="0" w:line="240" w:lineRule="auto"/>
        <w:rPr>
          <w:rFonts w:ascii="Expert Sans Regular" w:hAnsi="Expert Sans Regular" w:cs="Arial"/>
          <w:sz w:val="21"/>
          <w:szCs w:val="21"/>
        </w:rPr>
      </w:pPr>
    </w:p>
    <w:p w14:paraId="40C84D4D" w14:textId="77777777" w:rsidR="00B84A8C" w:rsidRDefault="00B84A8C" w:rsidP="00B84A8C">
      <w:pPr>
        <w:spacing w:after="0" w:line="240" w:lineRule="auto"/>
        <w:rPr>
          <w:rFonts w:ascii="Expert Sans Regular" w:hAnsi="Expert Sans Regular" w:cs="Arial"/>
          <w:sz w:val="21"/>
          <w:szCs w:val="21"/>
        </w:rPr>
      </w:pPr>
      <w:r w:rsidRPr="008A7F92">
        <w:rPr>
          <w:rFonts w:ascii="Expert Sans Regular" w:hAnsi="Expert Sans Regular" w:cs="Arial"/>
          <w:sz w:val="21"/>
          <w:szCs w:val="21"/>
        </w:rPr>
        <w:t>This is directly in line with Barclays aspiration to become the most accessible and inclusive FTSE 100 company</w:t>
      </w:r>
      <w:r w:rsidR="00B1159A">
        <w:rPr>
          <w:rFonts w:ascii="Expert Sans Regular" w:hAnsi="Expert Sans Regular" w:cs="Arial"/>
          <w:sz w:val="21"/>
          <w:szCs w:val="21"/>
        </w:rPr>
        <w:t>. It also reflects</w:t>
      </w:r>
      <w:r w:rsidRPr="008A7F92">
        <w:rPr>
          <w:rFonts w:ascii="Expert Sans Regular" w:hAnsi="Expert Sans Regular" w:cs="Arial"/>
          <w:sz w:val="21"/>
          <w:szCs w:val="21"/>
        </w:rPr>
        <w:t xml:space="preserve"> our approach to increase employment opportunities for all, develop ways to recruit and retain the talents of all colleagues, with or without a disability or health condition, and build a culture of inclusion. </w:t>
      </w:r>
    </w:p>
    <w:p w14:paraId="40C84D4E" w14:textId="77777777" w:rsidR="00B84A8C" w:rsidRPr="008A7F92" w:rsidRDefault="00B84A8C" w:rsidP="00B84A8C">
      <w:pPr>
        <w:spacing w:after="0" w:line="240" w:lineRule="auto"/>
        <w:rPr>
          <w:rFonts w:ascii="Expert Sans Regular" w:hAnsi="Expert Sans Regular" w:cs="Arial"/>
          <w:sz w:val="21"/>
          <w:szCs w:val="21"/>
        </w:rPr>
      </w:pPr>
    </w:p>
    <w:p w14:paraId="40C84D4F" w14:textId="77777777" w:rsidR="00BF646B" w:rsidRPr="009335DA" w:rsidRDefault="00BF646B" w:rsidP="00B84A8C">
      <w:pPr>
        <w:spacing w:after="0" w:line="240" w:lineRule="auto"/>
        <w:rPr>
          <w:rFonts w:ascii="Expert Sans Regular" w:hAnsi="Expert Sans Regular" w:cs="Arial"/>
          <w:b/>
          <w:bCs/>
          <w:sz w:val="24"/>
          <w:szCs w:val="21"/>
        </w:rPr>
      </w:pPr>
      <w:r w:rsidRPr="009335DA">
        <w:rPr>
          <w:rFonts w:ascii="Expert Sans Regular" w:hAnsi="Expert Sans Regular" w:cs="Arial"/>
          <w:b/>
          <w:bCs/>
          <w:sz w:val="24"/>
          <w:szCs w:val="21"/>
        </w:rPr>
        <w:t>Core themes</w:t>
      </w:r>
    </w:p>
    <w:p w14:paraId="40C84D50" w14:textId="77777777" w:rsidR="00BF646B" w:rsidRDefault="00BF646B" w:rsidP="00B84A8C">
      <w:pPr>
        <w:spacing w:after="0" w:line="240" w:lineRule="auto"/>
        <w:rPr>
          <w:rFonts w:ascii="Expert Sans Regular" w:hAnsi="Expert Sans Regular" w:cs="Arial"/>
          <w:bCs/>
          <w:sz w:val="21"/>
          <w:szCs w:val="21"/>
        </w:rPr>
      </w:pPr>
    </w:p>
    <w:p w14:paraId="40C84D51" w14:textId="77777777" w:rsidR="00BF764A" w:rsidRDefault="00B84A8C" w:rsidP="00B84A8C">
      <w:pPr>
        <w:spacing w:after="0" w:line="240" w:lineRule="auto"/>
        <w:rPr>
          <w:rFonts w:ascii="Expert Sans Regular" w:hAnsi="Expert Sans Regular" w:cs="Arial"/>
          <w:bCs/>
          <w:sz w:val="21"/>
          <w:szCs w:val="21"/>
        </w:rPr>
      </w:pPr>
      <w:r>
        <w:rPr>
          <w:rFonts w:ascii="Expert Sans Regular" w:hAnsi="Expert Sans Regular" w:cs="Arial"/>
          <w:bCs/>
          <w:sz w:val="21"/>
          <w:szCs w:val="21"/>
        </w:rPr>
        <w:t xml:space="preserve">We have considered the questions in the Green Paper </w:t>
      </w:r>
      <w:r w:rsidR="00855EC0">
        <w:rPr>
          <w:rFonts w:ascii="Expert Sans Regular" w:hAnsi="Expert Sans Regular" w:cs="Arial"/>
          <w:bCs/>
          <w:sz w:val="21"/>
          <w:szCs w:val="21"/>
        </w:rPr>
        <w:t xml:space="preserve">that are most relevant to Barclays </w:t>
      </w:r>
      <w:r>
        <w:rPr>
          <w:rFonts w:ascii="Expert Sans Regular" w:hAnsi="Expert Sans Regular" w:cs="Arial"/>
          <w:bCs/>
          <w:sz w:val="21"/>
          <w:szCs w:val="21"/>
        </w:rPr>
        <w:t xml:space="preserve">and have drawn out the following key points as the core elements of our response:  </w:t>
      </w:r>
    </w:p>
    <w:p w14:paraId="40C84D52" w14:textId="77777777" w:rsidR="00BF764A" w:rsidRDefault="00BF764A" w:rsidP="00B84A8C">
      <w:pPr>
        <w:spacing w:after="0" w:line="240" w:lineRule="auto"/>
        <w:rPr>
          <w:rFonts w:ascii="Expert Sans Regular" w:hAnsi="Expert Sans Regular" w:cs="Arial"/>
          <w:bCs/>
          <w:sz w:val="21"/>
          <w:szCs w:val="21"/>
        </w:rPr>
      </w:pPr>
    </w:p>
    <w:p w14:paraId="40C84D53" w14:textId="77777777" w:rsidR="001B61D9" w:rsidRPr="00BF764A" w:rsidRDefault="00394E9D" w:rsidP="00BF764A">
      <w:pPr>
        <w:pStyle w:val="ListParagraph"/>
        <w:numPr>
          <w:ilvl w:val="0"/>
          <w:numId w:val="2"/>
        </w:numPr>
        <w:spacing w:after="0" w:line="240" w:lineRule="auto"/>
        <w:ind w:left="360"/>
        <w:rPr>
          <w:rFonts w:ascii="Expert Sans Regular" w:hAnsi="Expert Sans Regular"/>
          <w:b/>
          <w:i/>
          <w:sz w:val="21"/>
          <w:szCs w:val="21"/>
        </w:rPr>
      </w:pPr>
      <w:r w:rsidRPr="00BF764A">
        <w:rPr>
          <w:rFonts w:ascii="Expert Sans Regular" w:hAnsi="Expert Sans Regular"/>
          <w:b/>
          <w:i/>
          <w:sz w:val="21"/>
          <w:szCs w:val="21"/>
        </w:rPr>
        <w:t>Strengthen</w:t>
      </w:r>
      <w:r w:rsidR="001B61D9" w:rsidRPr="00BF764A">
        <w:rPr>
          <w:rFonts w:ascii="Expert Sans Regular" w:hAnsi="Expert Sans Regular"/>
          <w:b/>
          <w:i/>
          <w:sz w:val="21"/>
          <w:szCs w:val="21"/>
        </w:rPr>
        <w:t xml:space="preserve"> existing recruitment and retention processes and make them more inclusive</w:t>
      </w:r>
    </w:p>
    <w:p w14:paraId="40C84D54" w14:textId="77777777" w:rsidR="001B61D9" w:rsidRPr="008A7F92" w:rsidRDefault="001B61D9" w:rsidP="00BF764A">
      <w:pPr>
        <w:pStyle w:val="ListParagraph"/>
        <w:numPr>
          <w:ilvl w:val="1"/>
          <w:numId w:val="1"/>
        </w:numPr>
        <w:ind w:left="1080"/>
        <w:rPr>
          <w:rFonts w:ascii="Expert Sans Regular" w:hAnsi="Expert Sans Regular"/>
          <w:sz w:val="21"/>
          <w:szCs w:val="21"/>
        </w:rPr>
      </w:pPr>
      <w:r w:rsidRPr="008A7F92">
        <w:rPr>
          <w:rFonts w:ascii="Expert Sans Regular" w:hAnsi="Expert Sans Regular"/>
          <w:sz w:val="21"/>
          <w:szCs w:val="21"/>
        </w:rPr>
        <w:t>Proposed action</w:t>
      </w:r>
      <w:r w:rsidR="00B1159A">
        <w:rPr>
          <w:rFonts w:ascii="Expert Sans Regular" w:hAnsi="Expert Sans Regular"/>
          <w:sz w:val="21"/>
          <w:szCs w:val="21"/>
        </w:rPr>
        <w:t>s</w:t>
      </w:r>
      <w:r w:rsidRPr="008A7F92">
        <w:rPr>
          <w:rFonts w:ascii="Expert Sans Regular" w:hAnsi="Expert Sans Regular"/>
          <w:sz w:val="21"/>
          <w:szCs w:val="21"/>
        </w:rPr>
        <w:t xml:space="preserve">: </w:t>
      </w:r>
      <w:r w:rsidR="00E20FB1">
        <w:rPr>
          <w:rFonts w:ascii="Expert Sans Regular" w:hAnsi="Expert Sans Regular"/>
          <w:sz w:val="21"/>
          <w:szCs w:val="21"/>
        </w:rPr>
        <w:t>Review the eligibility criteria for pre-employment and traineeship programmes, including internships and apprenticeships, by removing age and prior qualification criteria</w:t>
      </w:r>
      <w:r w:rsidRPr="008A7F92">
        <w:rPr>
          <w:rFonts w:ascii="Expert Sans Regular" w:hAnsi="Expert Sans Regular"/>
          <w:sz w:val="21"/>
          <w:szCs w:val="21"/>
        </w:rPr>
        <w:t xml:space="preserve"> (e</w:t>
      </w:r>
      <w:r w:rsidR="00BB0E30">
        <w:rPr>
          <w:rFonts w:ascii="Expert Sans Regular" w:hAnsi="Expert Sans Regular"/>
          <w:sz w:val="21"/>
          <w:szCs w:val="21"/>
        </w:rPr>
        <w:t>.</w:t>
      </w:r>
      <w:r w:rsidRPr="008A7F92">
        <w:rPr>
          <w:rFonts w:ascii="Expert Sans Regular" w:hAnsi="Expert Sans Regular"/>
          <w:sz w:val="21"/>
          <w:szCs w:val="21"/>
        </w:rPr>
        <w:t>g</w:t>
      </w:r>
      <w:r w:rsidR="00BB0E30">
        <w:rPr>
          <w:rFonts w:ascii="Expert Sans Regular" w:hAnsi="Expert Sans Regular"/>
          <w:sz w:val="21"/>
          <w:szCs w:val="21"/>
        </w:rPr>
        <w:t>.</w:t>
      </w:r>
      <w:r w:rsidRPr="008A7F92">
        <w:rPr>
          <w:rFonts w:ascii="Expert Sans Regular" w:hAnsi="Expert Sans Regular"/>
          <w:sz w:val="21"/>
          <w:szCs w:val="21"/>
        </w:rPr>
        <w:t xml:space="preserve"> </w:t>
      </w:r>
      <w:r w:rsidR="00EB5E16">
        <w:rPr>
          <w:rFonts w:ascii="Expert Sans Regular" w:hAnsi="Expert Sans Regular"/>
          <w:sz w:val="21"/>
          <w:szCs w:val="21"/>
        </w:rPr>
        <w:t xml:space="preserve">Barclays </w:t>
      </w:r>
      <w:r w:rsidRPr="008A7F92">
        <w:rPr>
          <w:rFonts w:ascii="Expert Sans Regular" w:hAnsi="Expert Sans Regular"/>
          <w:sz w:val="21"/>
          <w:szCs w:val="21"/>
        </w:rPr>
        <w:t>Able to Enable</w:t>
      </w:r>
      <w:r w:rsidR="00E20FB1">
        <w:rPr>
          <w:rFonts w:ascii="Expert Sans Regular" w:hAnsi="Expert Sans Regular"/>
          <w:sz w:val="21"/>
          <w:szCs w:val="21"/>
        </w:rPr>
        <w:t xml:space="preserve"> internships for people with disabilities covers all ages</w:t>
      </w:r>
      <w:r w:rsidRPr="008A7F92">
        <w:rPr>
          <w:rFonts w:ascii="Expert Sans Regular" w:hAnsi="Expert Sans Regular"/>
          <w:sz w:val="21"/>
          <w:szCs w:val="21"/>
        </w:rPr>
        <w:t>)</w:t>
      </w:r>
      <w:r w:rsidR="00B1159A">
        <w:rPr>
          <w:rFonts w:ascii="Expert Sans Regular" w:hAnsi="Expert Sans Regular"/>
          <w:sz w:val="21"/>
          <w:szCs w:val="21"/>
        </w:rPr>
        <w:t>;</w:t>
      </w:r>
      <w:r w:rsidRPr="008A7F92">
        <w:rPr>
          <w:rFonts w:ascii="Expert Sans Regular" w:hAnsi="Expert Sans Regular"/>
          <w:sz w:val="21"/>
          <w:szCs w:val="21"/>
        </w:rPr>
        <w:t xml:space="preserve"> </w:t>
      </w:r>
      <w:r w:rsidR="00BB0E30">
        <w:rPr>
          <w:rFonts w:ascii="Expert Sans Regular" w:hAnsi="Expert Sans Regular"/>
          <w:sz w:val="21"/>
          <w:szCs w:val="21"/>
        </w:rPr>
        <w:t>ensure programmes lead</w:t>
      </w:r>
      <w:r w:rsidR="00B1159A">
        <w:rPr>
          <w:rFonts w:ascii="Expert Sans Regular" w:hAnsi="Expert Sans Regular"/>
          <w:sz w:val="21"/>
          <w:szCs w:val="21"/>
        </w:rPr>
        <w:t xml:space="preserve"> to meaningful work opportunities</w:t>
      </w:r>
    </w:p>
    <w:p w14:paraId="40C84D55" w14:textId="77777777" w:rsidR="00C44F56" w:rsidRPr="008A7F92" w:rsidRDefault="00C44F56" w:rsidP="00BF764A">
      <w:pPr>
        <w:pStyle w:val="ListParagraph"/>
        <w:numPr>
          <w:ilvl w:val="0"/>
          <w:numId w:val="1"/>
        </w:numPr>
        <w:ind w:left="360"/>
        <w:rPr>
          <w:rFonts w:ascii="Expert Sans Regular" w:hAnsi="Expert Sans Regular"/>
          <w:b/>
          <w:i/>
          <w:sz w:val="21"/>
          <w:szCs w:val="21"/>
        </w:rPr>
      </w:pPr>
      <w:r w:rsidRPr="008A7F92">
        <w:rPr>
          <w:rFonts w:ascii="Expert Sans Regular" w:hAnsi="Expert Sans Regular"/>
          <w:b/>
          <w:i/>
          <w:sz w:val="21"/>
          <w:szCs w:val="21"/>
        </w:rPr>
        <w:t>I</w:t>
      </w:r>
      <w:r w:rsidR="00394E9D" w:rsidRPr="008A7F92">
        <w:rPr>
          <w:rFonts w:ascii="Expert Sans Regular" w:hAnsi="Expert Sans Regular"/>
          <w:b/>
          <w:i/>
          <w:sz w:val="21"/>
          <w:szCs w:val="21"/>
        </w:rPr>
        <w:t>mprove</w:t>
      </w:r>
      <w:r w:rsidRPr="008A7F92">
        <w:rPr>
          <w:rFonts w:ascii="Expert Sans Regular" w:hAnsi="Expert Sans Regular"/>
          <w:b/>
          <w:i/>
          <w:sz w:val="21"/>
          <w:szCs w:val="21"/>
        </w:rPr>
        <w:t xml:space="preserve"> knowledge/awareness of the </w:t>
      </w:r>
      <w:r w:rsidR="001B61D9" w:rsidRPr="008A7F92">
        <w:rPr>
          <w:rFonts w:ascii="Expert Sans Regular" w:hAnsi="Expert Sans Regular"/>
          <w:b/>
          <w:i/>
          <w:sz w:val="21"/>
          <w:szCs w:val="21"/>
        </w:rPr>
        <w:t xml:space="preserve">employment </w:t>
      </w:r>
      <w:r w:rsidRPr="008A7F92">
        <w:rPr>
          <w:rFonts w:ascii="Expert Sans Regular" w:hAnsi="Expert Sans Regular"/>
          <w:b/>
          <w:i/>
          <w:sz w:val="21"/>
          <w:szCs w:val="21"/>
        </w:rPr>
        <w:t xml:space="preserve">potential of people with disabilities and health conditions </w:t>
      </w:r>
    </w:p>
    <w:p w14:paraId="40C84D56" w14:textId="77777777" w:rsidR="0093390C" w:rsidRPr="008A7F92" w:rsidRDefault="00C44F56" w:rsidP="00BF764A">
      <w:pPr>
        <w:pStyle w:val="ListParagraph"/>
        <w:numPr>
          <w:ilvl w:val="1"/>
          <w:numId w:val="1"/>
        </w:numPr>
        <w:ind w:left="1080"/>
        <w:rPr>
          <w:rFonts w:ascii="Expert Sans Regular" w:hAnsi="Expert Sans Regular"/>
          <w:sz w:val="21"/>
          <w:szCs w:val="21"/>
        </w:rPr>
      </w:pPr>
      <w:r w:rsidRPr="008A7F92">
        <w:rPr>
          <w:rFonts w:ascii="Expert Sans Regular" w:hAnsi="Expert Sans Regular"/>
          <w:sz w:val="21"/>
          <w:szCs w:val="21"/>
        </w:rPr>
        <w:t>Proposed action</w:t>
      </w:r>
      <w:r w:rsidR="00B1159A">
        <w:rPr>
          <w:rFonts w:ascii="Expert Sans Regular" w:hAnsi="Expert Sans Regular"/>
          <w:sz w:val="21"/>
          <w:szCs w:val="21"/>
        </w:rPr>
        <w:t>s</w:t>
      </w:r>
      <w:r w:rsidRPr="008A7F92">
        <w:rPr>
          <w:rFonts w:ascii="Expert Sans Regular" w:hAnsi="Expert Sans Regular"/>
          <w:sz w:val="21"/>
          <w:szCs w:val="21"/>
        </w:rPr>
        <w:t xml:space="preserve">: </w:t>
      </w:r>
      <w:r w:rsidR="00394E9D" w:rsidRPr="008A7F92">
        <w:rPr>
          <w:rFonts w:ascii="Expert Sans Regular" w:hAnsi="Expert Sans Regular"/>
          <w:sz w:val="21"/>
          <w:szCs w:val="21"/>
        </w:rPr>
        <w:t>Initiate a nationwide campaign to change attitudes towards people with disabilities in the workplace</w:t>
      </w:r>
      <w:r w:rsidR="00B1159A">
        <w:rPr>
          <w:rFonts w:ascii="Expert Sans Regular" w:hAnsi="Expert Sans Regular"/>
          <w:sz w:val="21"/>
          <w:szCs w:val="21"/>
        </w:rPr>
        <w:t>;</w:t>
      </w:r>
      <w:r w:rsidR="00394E9D" w:rsidRPr="008A7F92">
        <w:rPr>
          <w:rFonts w:ascii="Expert Sans Regular" w:hAnsi="Expert Sans Regular"/>
          <w:sz w:val="21"/>
          <w:szCs w:val="21"/>
        </w:rPr>
        <w:t xml:space="preserve"> a</w:t>
      </w:r>
      <w:r w:rsidRPr="008A7F92">
        <w:rPr>
          <w:rFonts w:ascii="Expert Sans Regular" w:hAnsi="Expert Sans Regular"/>
          <w:sz w:val="21"/>
          <w:szCs w:val="21"/>
        </w:rPr>
        <w:t>dopt</w:t>
      </w:r>
      <w:r w:rsidR="0093390C" w:rsidRPr="008A7F92">
        <w:rPr>
          <w:rFonts w:ascii="Expert Sans Regular" w:hAnsi="Expert Sans Regular"/>
          <w:sz w:val="21"/>
          <w:szCs w:val="21"/>
        </w:rPr>
        <w:t xml:space="preserve"> </w:t>
      </w:r>
      <w:r w:rsidRPr="008A7F92">
        <w:rPr>
          <w:rFonts w:ascii="Expert Sans Regular" w:hAnsi="Expert Sans Regular"/>
          <w:sz w:val="21"/>
          <w:szCs w:val="21"/>
        </w:rPr>
        <w:t>‘</w:t>
      </w:r>
      <w:r w:rsidR="00EB5E16">
        <w:rPr>
          <w:rFonts w:ascii="Expert Sans Regular" w:hAnsi="Expert Sans Regular"/>
          <w:sz w:val="21"/>
          <w:szCs w:val="21"/>
        </w:rPr>
        <w:t>This is M</w:t>
      </w:r>
      <w:r w:rsidR="0093390C" w:rsidRPr="008A7F92">
        <w:rPr>
          <w:rFonts w:ascii="Expert Sans Regular" w:hAnsi="Expert Sans Regular"/>
          <w:sz w:val="21"/>
          <w:szCs w:val="21"/>
        </w:rPr>
        <w:t>e</w:t>
      </w:r>
      <w:r w:rsidRPr="008A7F92">
        <w:rPr>
          <w:rFonts w:ascii="Expert Sans Regular" w:hAnsi="Expert Sans Regular"/>
          <w:sz w:val="21"/>
          <w:szCs w:val="21"/>
        </w:rPr>
        <w:t>’</w:t>
      </w:r>
      <w:r w:rsidR="0093390C" w:rsidRPr="008A7F92">
        <w:rPr>
          <w:rFonts w:ascii="Expert Sans Regular" w:hAnsi="Expert Sans Regular"/>
          <w:sz w:val="21"/>
          <w:szCs w:val="21"/>
        </w:rPr>
        <w:t xml:space="preserve"> as a national campaign for </w:t>
      </w:r>
      <w:r w:rsidR="00394E9D" w:rsidRPr="008A7F92">
        <w:rPr>
          <w:rFonts w:ascii="Expert Sans Regular" w:hAnsi="Expert Sans Regular"/>
          <w:sz w:val="21"/>
          <w:szCs w:val="21"/>
        </w:rPr>
        <w:t>employers</w:t>
      </w:r>
      <w:r w:rsidR="0093390C" w:rsidRPr="008A7F92">
        <w:rPr>
          <w:rFonts w:ascii="Expert Sans Regular" w:hAnsi="Expert Sans Regular"/>
          <w:sz w:val="21"/>
          <w:szCs w:val="21"/>
        </w:rPr>
        <w:t xml:space="preserve"> to challenge stigma around mental health</w:t>
      </w:r>
      <w:r w:rsidR="00811478" w:rsidRPr="008A7F92">
        <w:rPr>
          <w:rFonts w:ascii="Expert Sans Regular" w:hAnsi="Expert Sans Regular"/>
          <w:sz w:val="21"/>
          <w:szCs w:val="21"/>
        </w:rPr>
        <w:t xml:space="preserve"> </w:t>
      </w:r>
      <w:r w:rsidR="009C06DA">
        <w:rPr>
          <w:rFonts w:ascii="Expert Sans Regular" w:hAnsi="Expert Sans Regular"/>
          <w:sz w:val="21"/>
          <w:szCs w:val="21"/>
        </w:rPr>
        <w:t>in support of the PM’s review of mental wellbeing in the workplace</w:t>
      </w:r>
      <w:r w:rsidR="00BB0E30">
        <w:rPr>
          <w:rFonts w:ascii="Expert Sans Regular" w:hAnsi="Expert Sans Regular"/>
          <w:sz w:val="21"/>
          <w:szCs w:val="21"/>
        </w:rPr>
        <w:t xml:space="preserve">; help education institutions </w:t>
      </w:r>
      <w:r w:rsidR="00BB0E30" w:rsidRPr="008A7F92">
        <w:rPr>
          <w:rFonts w:ascii="Expert Sans Regular" w:hAnsi="Expert Sans Regular"/>
          <w:sz w:val="21"/>
          <w:szCs w:val="21"/>
        </w:rPr>
        <w:t xml:space="preserve">build </w:t>
      </w:r>
      <w:r w:rsidR="00BB0E30">
        <w:rPr>
          <w:rFonts w:ascii="Expert Sans Regular" w:hAnsi="Expert Sans Regular"/>
          <w:sz w:val="21"/>
          <w:szCs w:val="21"/>
        </w:rPr>
        <w:t xml:space="preserve">the </w:t>
      </w:r>
      <w:r w:rsidR="00BB0E30" w:rsidRPr="008A7F92">
        <w:rPr>
          <w:rFonts w:ascii="Expert Sans Regular" w:hAnsi="Expert Sans Regular"/>
          <w:sz w:val="21"/>
          <w:szCs w:val="21"/>
        </w:rPr>
        <w:t>confid</w:t>
      </w:r>
      <w:r w:rsidR="00BB0E30">
        <w:rPr>
          <w:rFonts w:ascii="Expert Sans Regular" w:hAnsi="Expert Sans Regular"/>
          <w:sz w:val="21"/>
          <w:szCs w:val="21"/>
        </w:rPr>
        <w:t>ence of disabled young people so they</w:t>
      </w:r>
      <w:r w:rsidR="00BB0E30" w:rsidRPr="008A7F92">
        <w:rPr>
          <w:rFonts w:ascii="Expert Sans Regular" w:hAnsi="Expert Sans Regular"/>
          <w:sz w:val="21"/>
          <w:szCs w:val="21"/>
        </w:rPr>
        <w:t xml:space="preserve"> consider a wider range of employment opportunities</w:t>
      </w:r>
    </w:p>
    <w:p w14:paraId="40C84D57" w14:textId="77777777" w:rsidR="00BB0E30" w:rsidRDefault="00BB0E30" w:rsidP="00BB0E30">
      <w:pPr>
        <w:pStyle w:val="ListParagraph"/>
        <w:numPr>
          <w:ilvl w:val="0"/>
          <w:numId w:val="1"/>
        </w:numPr>
        <w:spacing w:after="0"/>
        <w:ind w:left="360"/>
        <w:rPr>
          <w:rFonts w:ascii="Expert Sans Regular" w:hAnsi="Expert Sans Regular"/>
          <w:b/>
          <w:i/>
          <w:sz w:val="21"/>
          <w:szCs w:val="21"/>
        </w:rPr>
      </w:pPr>
      <w:r>
        <w:rPr>
          <w:rFonts w:ascii="Expert Sans Regular" w:hAnsi="Expert Sans Regular"/>
          <w:b/>
          <w:i/>
          <w:sz w:val="21"/>
          <w:szCs w:val="21"/>
        </w:rPr>
        <w:t>Create the culture for an inclusive workforce that retains people with and/or acquiring a health condition by building healthier workplaces</w:t>
      </w:r>
    </w:p>
    <w:p w14:paraId="40C84D58" w14:textId="77777777" w:rsidR="00BB0E30" w:rsidRDefault="00BB0E30" w:rsidP="00BB0E30">
      <w:pPr>
        <w:pStyle w:val="ListParagraph"/>
        <w:numPr>
          <w:ilvl w:val="1"/>
          <w:numId w:val="1"/>
        </w:numPr>
        <w:ind w:left="1077" w:hanging="357"/>
      </w:pPr>
      <w:r w:rsidRPr="008A7F92">
        <w:rPr>
          <w:rFonts w:ascii="Expert Sans Regular" w:hAnsi="Expert Sans Regular"/>
          <w:sz w:val="21"/>
          <w:szCs w:val="21"/>
        </w:rPr>
        <w:t>Proposed action</w:t>
      </w:r>
      <w:r>
        <w:rPr>
          <w:rFonts w:ascii="Expert Sans Regular" w:hAnsi="Expert Sans Regular"/>
          <w:sz w:val="21"/>
          <w:szCs w:val="21"/>
        </w:rPr>
        <w:t>s</w:t>
      </w:r>
      <w:r w:rsidRPr="008A7F92">
        <w:rPr>
          <w:rFonts w:ascii="Expert Sans Regular" w:hAnsi="Expert Sans Regular"/>
          <w:sz w:val="21"/>
          <w:szCs w:val="21"/>
        </w:rPr>
        <w:t>:</w:t>
      </w:r>
      <w:r>
        <w:rPr>
          <w:rFonts w:ascii="Expert Sans Regular" w:hAnsi="Expert Sans Regular"/>
          <w:sz w:val="21"/>
          <w:szCs w:val="21"/>
        </w:rPr>
        <w:t xml:space="preserve">   </w:t>
      </w:r>
      <w:r w:rsidRPr="004F7ED7">
        <w:rPr>
          <w:rFonts w:ascii="Expert Sans Regular" w:hAnsi="Expert Sans Regular"/>
          <w:sz w:val="21"/>
          <w:szCs w:val="21"/>
        </w:rPr>
        <w:t>Consider the impact of</w:t>
      </w:r>
      <w:r w:rsidRPr="00227E6F">
        <w:rPr>
          <w:rFonts w:ascii="Expert Sans Regular" w:hAnsi="Expert Sans Regular"/>
          <w:sz w:val="21"/>
          <w:szCs w:val="21"/>
        </w:rPr>
        <w:t xml:space="preserve"> short term diagnoses that could lead to long-term sickness absence by reflecting a broader range of health conditions, and not just disability in accordance with the Equality Act; embed wellbe</w:t>
      </w:r>
      <w:r>
        <w:rPr>
          <w:rFonts w:ascii="Expert Sans Regular" w:hAnsi="Expert Sans Regular"/>
          <w:sz w:val="21"/>
          <w:szCs w:val="21"/>
        </w:rPr>
        <w:t>ing programmes in the workplace</w:t>
      </w:r>
    </w:p>
    <w:p w14:paraId="40C84D59" w14:textId="77777777" w:rsidR="00BB0E30" w:rsidRPr="008A7F92" w:rsidRDefault="00BB0E30" w:rsidP="00BB0E30">
      <w:pPr>
        <w:pStyle w:val="ListParagraph"/>
        <w:numPr>
          <w:ilvl w:val="0"/>
          <w:numId w:val="1"/>
        </w:numPr>
        <w:ind w:left="360"/>
        <w:rPr>
          <w:rFonts w:ascii="Expert Sans Regular" w:hAnsi="Expert Sans Regular"/>
          <w:b/>
          <w:i/>
          <w:sz w:val="21"/>
          <w:szCs w:val="21"/>
        </w:rPr>
      </w:pPr>
      <w:r w:rsidRPr="008A7F92">
        <w:rPr>
          <w:rFonts w:ascii="Expert Sans Regular" w:hAnsi="Expert Sans Regular"/>
          <w:b/>
          <w:i/>
          <w:sz w:val="21"/>
          <w:szCs w:val="21"/>
        </w:rPr>
        <w:lastRenderedPageBreak/>
        <w:t xml:space="preserve">Promote the value of employee networks to support colleagues with disabilities </w:t>
      </w:r>
      <w:r>
        <w:rPr>
          <w:rFonts w:ascii="Expert Sans Regular" w:hAnsi="Expert Sans Regular"/>
          <w:b/>
          <w:i/>
          <w:sz w:val="21"/>
          <w:szCs w:val="21"/>
        </w:rPr>
        <w:t>and promote wellbeing</w:t>
      </w:r>
    </w:p>
    <w:p w14:paraId="40C84D5A" w14:textId="77777777" w:rsidR="00BB0E30" w:rsidRDefault="00BB0E30" w:rsidP="00BB0E30">
      <w:pPr>
        <w:pStyle w:val="ListParagraph"/>
        <w:numPr>
          <w:ilvl w:val="1"/>
          <w:numId w:val="1"/>
        </w:numPr>
        <w:ind w:left="1080"/>
        <w:rPr>
          <w:rFonts w:ascii="Expert Sans Regular" w:hAnsi="Expert Sans Regular"/>
          <w:sz w:val="21"/>
          <w:szCs w:val="21"/>
        </w:rPr>
      </w:pPr>
      <w:r w:rsidRPr="008A7F92">
        <w:rPr>
          <w:rFonts w:ascii="Expert Sans Regular" w:hAnsi="Expert Sans Regular"/>
          <w:sz w:val="21"/>
          <w:szCs w:val="21"/>
        </w:rPr>
        <w:t>Proposed action</w:t>
      </w:r>
      <w:r>
        <w:rPr>
          <w:rFonts w:ascii="Expert Sans Regular" w:hAnsi="Expert Sans Regular"/>
          <w:sz w:val="21"/>
          <w:szCs w:val="21"/>
        </w:rPr>
        <w:t>s</w:t>
      </w:r>
      <w:r w:rsidRPr="008A7F92">
        <w:rPr>
          <w:rFonts w:ascii="Expert Sans Regular" w:hAnsi="Expert Sans Regular"/>
          <w:sz w:val="21"/>
          <w:szCs w:val="21"/>
        </w:rPr>
        <w:t>: Create ‘virtual’ colleague networks across smaller employers who can’t establish their o</w:t>
      </w:r>
      <w:r>
        <w:rPr>
          <w:rFonts w:ascii="Expert Sans Regular" w:hAnsi="Expert Sans Regular"/>
          <w:sz w:val="21"/>
          <w:szCs w:val="21"/>
        </w:rPr>
        <w:t>wn (possibly industry-specific); recognise the value of networks in supporting wellbeing to retain people of all abilities in employment</w:t>
      </w:r>
    </w:p>
    <w:p w14:paraId="40C84D5B" w14:textId="77777777" w:rsidR="00C44F56" w:rsidRPr="008A7F92" w:rsidRDefault="00394E9D" w:rsidP="00BF764A">
      <w:pPr>
        <w:pStyle w:val="ListParagraph"/>
        <w:numPr>
          <w:ilvl w:val="0"/>
          <w:numId w:val="1"/>
        </w:numPr>
        <w:ind w:left="360"/>
        <w:rPr>
          <w:rFonts w:ascii="Expert Sans Regular" w:hAnsi="Expert Sans Regular"/>
          <w:b/>
          <w:i/>
          <w:sz w:val="21"/>
          <w:szCs w:val="21"/>
        </w:rPr>
      </w:pPr>
      <w:r w:rsidRPr="008A7F92">
        <w:rPr>
          <w:rFonts w:ascii="Expert Sans Regular" w:hAnsi="Expert Sans Regular"/>
          <w:b/>
          <w:i/>
          <w:sz w:val="21"/>
          <w:szCs w:val="21"/>
        </w:rPr>
        <w:t>Share</w:t>
      </w:r>
      <w:r w:rsidR="00C44F56" w:rsidRPr="008A7F92">
        <w:rPr>
          <w:rFonts w:ascii="Expert Sans Regular" w:hAnsi="Expert Sans Regular"/>
          <w:b/>
          <w:i/>
          <w:sz w:val="21"/>
          <w:szCs w:val="21"/>
        </w:rPr>
        <w:t xml:space="preserve"> best practice</w:t>
      </w:r>
      <w:r w:rsidRPr="008A7F92">
        <w:rPr>
          <w:rFonts w:ascii="Expert Sans Regular" w:hAnsi="Expert Sans Regular"/>
          <w:b/>
          <w:i/>
          <w:sz w:val="21"/>
          <w:szCs w:val="21"/>
        </w:rPr>
        <w:t>,</w:t>
      </w:r>
      <w:r w:rsidR="00C44F56" w:rsidRPr="008A7F92">
        <w:rPr>
          <w:rFonts w:ascii="Expert Sans Regular" w:hAnsi="Expert Sans Regular"/>
          <w:b/>
          <w:i/>
          <w:sz w:val="21"/>
          <w:szCs w:val="21"/>
        </w:rPr>
        <w:t xml:space="preserve"> in particular by supporting SME’s </w:t>
      </w:r>
    </w:p>
    <w:p w14:paraId="40C84D5C" w14:textId="77777777" w:rsidR="0093390C" w:rsidRPr="008A7F92" w:rsidRDefault="00C44F56" w:rsidP="00BF764A">
      <w:pPr>
        <w:pStyle w:val="ListParagraph"/>
        <w:numPr>
          <w:ilvl w:val="1"/>
          <w:numId w:val="1"/>
        </w:numPr>
        <w:ind w:left="1080"/>
        <w:rPr>
          <w:rFonts w:ascii="Expert Sans Regular" w:hAnsi="Expert Sans Regular"/>
          <w:sz w:val="21"/>
          <w:szCs w:val="21"/>
        </w:rPr>
      </w:pPr>
      <w:r w:rsidRPr="008A7F92">
        <w:rPr>
          <w:rFonts w:ascii="Expert Sans Regular" w:hAnsi="Expert Sans Regular"/>
          <w:sz w:val="21"/>
          <w:szCs w:val="21"/>
        </w:rPr>
        <w:t xml:space="preserve">Proposed action: Proactively </w:t>
      </w:r>
      <w:r w:rsidR="0093390C" w:rsidRPr="008A7F92">
        <w:rPr>
          <w:rFonts w:ascii="Expert Sans Regular" w:hAnsi="Expert Sans Regular"/>
          <w:sz w:val="21"/>
          <w:szCs w:val="21"/>
        </w:rPr>
        <w:t>connect</w:t>
      </w:r>
      <w:r w:rsidR="00BB0E30">
        <w:rPr>
          <w:rFonts w:ascii="Expert Sans Regular" w:hAnsi="Expert Sans Regular"/>
          <w:sz w:val="21"/>
          <w:szCs w:val="21"/>
        </w:rPr>
        <w:t xml:space="preserve"> large</w:t>
      </w:r>
      <w:r w:rsidR="0093390C" w:rsidRPr="008A7F92">
        <w:rPr>
          <w:rFonts w:ascii="Expert Sans Regular" w:hAnsi="Expert Sans Regular"/>
          <w:sz w:val="21"/>
          <w:szCs w:val="21"/>
        </w:rPr>
        <w:t xml:space="preserve"> </w:t>
      </w:r>
      <w:r w:rsidRPr="008A7F92">
        <w:rPr>
          <w:rFonts w:ascii="Expert Sans Regular" w:hAnsi="Expert Sans Regular"/>
          <w:sz w:val="21"/>
          <w:szCs w:val="21"/>
        </w:rPr>
        <w:t xml:space="preserve">employers </w:t>
      </w:r>
      <w:r w:rsidR="00EB5E16">
        <w:rPr>
          <w:rFonts w:ascii="Expert Sans Regular" w:hAnsi="Expert Sans Regular"/>
          <w:sz w:val="21"/>
          <w:szCs w:val="21"/>
        </w:rPr>
        <w:t>w</w:t>
      </w:r>
      <w:r w:rsidR="00BB0E30">
        <w:rPr>
          <w:rFonts w:ascii="Expert Sans Regular" w:hAnsi="Expert Sans Regular"/>
          <w:sz w:val="21"/>
          <w:szCs w:val="21"/>
        </w:rPr>
        <w:t>ith</w:t>
      </w:r>
      <w:r w:rsidRPr="008A7F92">
        <w:rPr>
          <w:rFonts w:ascii="Expert Sans Regular" w:hAnsi="Expert Sans Regular"/>
          <w:sz w:val="21"/>
          <w:szCs w:val="21"/>
        </w:rPr>
        <w:t xml:space="preserve"> examples of best practice</w:t>
      </w:r>
      <w:r w:rsidR="00BB0E30">
        <w:rPr>
          <w:rFonts w:ascii="Expert Sans Regular" w:hAnsi="Expert Sans Regular"/>
          <w:sz w:val="21"/>
          <w:szCs w:val="21"/>
        </w:rPr>
        <w:t xml:space="preserve"> to</w:t>
      </w:r>
      <w:r w:rsidR="00EB5E16">
        <w:rPr>
          <w:rFonts w:ascii="Expert Sans Regular" w:hAnsi="Expert Sans Regular"/>
          <w:sz w:val="21"/>
          <w:szCs w:val="21"/>
        </w:rPr>
        <w:t xml:space="preserve"> smaller organisations, e</w:t>
      </w:r>
      <w:r w:rsidR="00BB0E30">
        <w:rPr>
          <w:rFonts w:ascii="Expert Sans Regular" w:hAnsi="Expert Sans Regular"/>
          <w:sz w:val="21"/>
          <w:szCs w:val="21"/>
        </w:rPr>
        <w:t>.</w:t>
      </w:r>
      <w:r w:rsidR="00EB5E16">
        <w:rPr>
          <w:rFonts w:ascii="Expert Sans Regular" w:hAnsi="Expert Sans Regular"/>
          <w:sz w:val="21"/>
          <w:szCs w:val="21"/>
        </w:rPr>
        <w:t>g</w:t>
      </w:r>
      <w:r w:rsidR="00BB0E30">
        <w:rPr>
          <w:rFonts w:ascii="Expert Sans Regular" w:hAnsi="Expert Sans Regular"/>
          <w:sz w:val="21"/>
          <w:szCs w:val="21"/>
        </w:rPr>
        <w:t>.</w:t>
      </w:r>
      <w:r w:rsidR="00EB5E16">
        <w:rPr>
          <w:rFonts w:ascii="Expert Sans Regular" w:hAnsi="Expert Sans Regular"/>
          <w:sz w:val="21"/>
          <w:szCs w:val="21"/>
        </w:rPr>
        <w:t xml:space="preserve"> </w:t>
      </w:r>
      <w:r w:rsidR="00394E9D" w:rsidRPr="008A7F92">
        <w:rPr>
          <w:rFonts w:ascii="Expert Sans Regular" w:hAnsi="Expert Sans Regular"/>
          <w:sz w:val="21"/>
          <w:szCs w:val="21"/>
        </w:rPr>
        <w:t xml:space="preserve">their </w:t>
      </w:r>
      <w:r w:rsidR="00BB0E30">
        <w:rPr>
          <w:rFonts w:ascii="Expert Sans Regular" w:hAnsi="Expert Sans Regular"/>
          <w:sz w:val="21"/>
          <w:szCs w:val="21"/>
        </w:rPr>
        <w:t>SME</w:t>
      </w:r>
      <w:r w:rsidR="00394E9D" w:rsidRPr="008A7F92">
        <w:rPr>
          <w:rFonts w:ascii="Expert Sans Regular" w:hAnsi="Expert Sans Regular"/>
          <w:sz w:val="21"/>
          <w:szCs w:val="21"/>
        </w:rPr>
        <w:t xml:space="preserve"> </w:t>
      </w:r>
      <w:r w:rsidR="0093390C" w:rsidRPr="008A7F92">
        <w:rPr>
          <w:rFonts w:ascii="Expert Sans Regular" w:hAnsi="Expert Sans Regular"/>
          <w:sz w:val="21"/>
          <w:szCs w:val="21"/>
        </w:rPr>
        <w:t>clients</w:t>
      </w:r>
      <w:r w:rsidR="00BB0E30">
        <w:rPr>
          <w:rFonts w:ascii="Expert Sans Regular" w:hAnsi="Expert Sans Regular"/>
          <w:sz w:val="21"/>
          <w:szCs w:val="21"/>
        </w:rPr>
        <w:t xml:space="preserve"> </w:t>
      </w:r>
      <w:r w:rsidR="00BB0E30" w:rsidRPr="008A7F92">
        <w:rPr>
          <w:rFonts w:ascii="Expert Sans Regular" w:hAnsi="Expert Sans Regular"/>
          <w:sz w:val="21"/>
          <w:szCs w:val="21"/>
        </w:rPr>
        <w:t>(e</w:t>
      </w:r>
      <w:r w:rsidR="00BB0E30">
        <w:rPr>
          <w:rFonts w:ascii="Expert Sans Regular" w:hAnsi="Expert Sans Regular"/>
          <w:sz w:val="21"/>
          <w:szCs w:val="21"/>
        </w:rPr>
        <w:t>.</w:t>
      </w:r>
      <w:r w:rsidR="00BB0E30" w:rsidRPr="008A7F92">
        <w:rPr>
          <w:rFonts w:ascii="Expert Sans Regular" w:hAnsi="Expert Sans Regular"/>
          <w:sz w:val="21"/>
          <w:szCs w:val="21"/>
        </w:rPr>
        <w:t>g</w:t>
      </w:r>
      <w:r w:rsidR="00BB0E30">
        <w:rPr>
          <w:rFonts w:ascii="Expert Sans Regular" w:hAnsi="Expert Sans Regular"/>
          <w:sz w:val="21"/>
          <w:szCs w:val="21"/>
        </w:rPr>
        <w:t>.</w:t>
      </w:r>
      <w:r w:rsidR="00BB0E30" w:rsidRPr="008A7F92">
        <w:rPr>
          <w:rFonts w:ascii="Expert Sans Regular" w:hAnsi="Expert Sans Regular"/>
          <w:sz w:val="21"/>
          <w:szCs w:val="21"/>
        </w:rPr>
        <w:t xml:space="preserve"> Barclays corporate accessibility portal)</w:t>
      </w:r>
      <w:r w:rsidR="00EB5E16">
        <w:rPr>
          <w:rFonts w:ascii="Expert Sans Regular" w:hAnsi="Expert Sans Regular"/>
          <w:sz w:val="21"/>
          <w:szCs w:val="21"/>
        </w:rPr>
        <w:t>,</w:t>
      </w:r>
      <w:r w:rsidR="00BB0E30">
        <w:rPr>
          <w:rFonts w:ascii="Expert Sans Regular" w:hAnsi="Expert Sans Regular"/>
          <w:sz w:val="21"/>
          <w:szCs w:val="21"/>
        </w:rPr>
        <w:t xml:space="preserve"> </w:t>
      </w:r>
      <w:r w:rsidR="00394E9D" w:rsidRPr="008A7F92">
        <w:rPr>
          <w:rFonts w:ascii="Expert Sans Regular" w:hAnsi="Expert Sans Regular"/>
          <w:sz w:val="21"/>
          <w:szCs w:val="21"/>
        </w:rPr>
        <w:t>provid</w:t>
      </w:r>
      <w:r w:rsidR="00BB0E30">
        <w:rPr>
          <w:rFonts w:ascii="Expert Sans Regular" w:hAnsi="Expert Sans Regular"/>
          <w:sz w:val="21"/>
          <w:szCs w:val="21"/>
        </w:rPr>
        <w:t>e industry-specific mentoring;</w:t>
      </w:r>
      <w:r w:rsidR="003030EC">
        <w:rPr>
          <w:rFonts w:ascii="Expert Sans Regular" w:hAnsi="Expert Sans Regular"/>
          <w:sz w:val="21"/>
          <w:szCs w:val="21"/>
        </w:rPr>
        <w:t xml:space="preserve"> engage supply chains and </w:t>
      </w:r>
      <w:r w:rsidR="0029420D">
        <w:rPr>
          <w:rFonts w:ascii="Expert Sans Regular" w:hAnsi="Expert Sans Regular"/>
          <w:sz w:val="21"/>
          <w:szCs w:val="21"/>
        </w:rPr>
        <w:t>consider suppliers’</w:t>
      </w:r>
      <w:r w:rsidR="003030EC">
        <w:rPr>
          <w:rFonts w:ascii="Expert Sans Regular" w:hAnsi="Expert Sans Regular"/>
          <w:sz w:val="21"/>
          <w:szCs w:val="21"/>
        </w:rPr>
        <w:t xml:space="preserve"> commitment to inclusive work</w:t>
      </w:r>
      <w:r w:rsidR="0029420D">
        <w:rPr>
          <w:rFonts w:ascii="Expert Sans Regular" w:hAnsi="Expert Sans Regular"/>
          <w:sz w:val="21"/>
          <w:szCs w:val="21"/>
        </w:rPr>
        <w:t>places</w:t>
      </w:r>
    </w:p>
    <w:p w14:paraId="40C84D5D" w14:textId="77777777" w:rsidR="00EB5E16" w:rsidRDefault="00EB5E16" w:rsidP="00EB5E16">
      <w:pPr>
        <w:pStyle w:val="ListParagraph"/>
        <w:numPr>
          <w:ilvl w:val="0"/>
          <w:numId w:val="1"/>
        </w:numPr>
        <w:ind w:left="360"/>
        <w:rPr>
          <w:rFonts w:ascii="Expert Sans Regular" w:hAnsi="Expert Sans Regular"/>
          <w:b/>
          <w:i/>
          <w:sz w:val="21"/>
          <w:szCs w:val="21"/>
        </w:rPr>
      </w:pPr>
      <w:r>
        <w:rPr>
          <w:rFonts w:ascii="Expert Sans Regular" w:hAnsi="Expert Sans Regular"/>
          <w:b/>
          <w:i/>
          <w:sz w:val="21"/>
          <w:szCs w:val="21"/>
        </w:rPr>
        <w:t>Strengthen existing Government initiatives to better serve employers as well as employees</w:t>
      </w:r>
    </w:p>
    <w:p w14:paraId="40C84D5E" w14:textId="77777777" w:rsidR="00EB5E16" w:rsidRDefault="00EB5E16" w:rsidP="009335DA">
      <w:pPr>
        <w:pStyle w:val="ListParagraph"/>
        <w:numPr>
          <w:ilvl w:val="1"/>
          <w:numId w:val="1"/>
        </w:numPr>
        <w:spacing w:after="0"/>
        <w:ind w:left="1080"/>
        <w:rPr>
          <w:rFonts w:ascii="Expert Sans Regular" w:hAnsi="Expert Sans Regular"/>
          <w:sz w:val="21"/>
          <w:szCs w:val="21"/>
        </w:rPr>
      </w:pPr>
      <w:r>
        <w:rPr>
          <w:rFonts w:ascii="Expert Sans Regular" w:hAnsi="Expert Sans Regular"/>
          <w:sz w:val="21"/>
          <w:szCs w:val="21"/>
        </w:rPr>
        <w:t>Review Access to Work to streamline process</w:t>
      </w:r>
      <w:r w:rsidR="00A426F9">
        <w:rPr>
          <w:rFonts w:ascii="Expert Sans Regular" w:hAnsi="Expert Sans Regular"/>
          <w:sz w:val="21"/>
          <w:szCs w:val="21"/>
        </w:rPr>
        <w:t>es</w:t>
      </w:r>
      <w:r w:rsidR="00B1159A">
        <w:rPr>
          <w:rFonts w:ascii="Expert Sans Regular" w:hAnsi="Expert Sans Regular"/>
          <w:sz w:val="21"/>
          <w:szCs w:val="21"/>
        </w:rPr>
        <w:t>;</w:t>
      </w:r>
      <w:r>
        <w:rPr>
          <w:rFonts w:ascii="Expert Sans Regular" w:hAnsi="Expert Sans Regular"/>
          <w:sz w:val="21"/>
          <w:szCs w:val="21"/>
        </w:rPr>
        <w:t xml:space="preserve"> </w:t>
      </w:r>
      <w:r w:rsidR="0029420D">
        <w:rPr>
          <w:rFonts w:ascii="Expert Sans Regular" w:hAnsi="Expert Sans Regular"/>
          <w:sz w:val="21"/>
          <w:szCs w:val="21"/>
        </w:rPr>
        <w:t xml:space="preserve">ensure </w:t>
      </w:r>
      <w:r>
        <w:rPr>
          <w:rFonts w:ascii="Expert Sans Regular" w:hAnsi="Expert Sans Regular"/>
          <w:sz w:val="21"/>
          <w:szCs w:val="21"/>
        </w:rPr>
        <w:t xml:space="preserve">quality checks </w:t>
      </w:r>
      <w:r w:rsidR="0029420D">
        <w:rPr>
          <w:rFonts w:ascii="Expert Sans Regular" w:hAnsi="Expert Sans Regular"/>
          <w:sz w:val="21"/>
          <w:szCs w:val="21"/>
        </w:rPr>
        <w:t xml:space="preserve">are incorporated </w:t>
      </w:r>
      <w:r>
        <w:rPr>
          <w:rFonts w:ascii="Expert Sans Regular" w:hAnsi="Expert Sans Regular"/>
          <w:sz w:val="21"/>
          <w:szCs w:val="21"/>
        </w:rPr>
        <w:t>into the Disability Confident Scheme</w:t>
      </w:r>
    </w:p>
    <w:p w14:paraId="40C84D5F" w14:textId="77777777" w:rsidR="00BF646B" w:rsidRDefault="00BF646B">
      <w:pPr>
        <w:rPr>
          <w:rFonts w:ascii="Expert Sans Regular" w:hAnsi="Expert Sans Regular"/>
          <w:b/>
          <w:szCs w:val="21"/>
          <w:u w:val="single"/>
        </w:rPr>
      </w:pPr>
      <w:r>
        <w:rPr>
          <w:rFonts w:ascii="Expert Sans Regular" w:hAnsi="Expert Sans Regular"/>
          <w:b/>
          <w:szCs w:val="21"/>
          <w:u w:val="single"/>
        </w:rPr>
        <w:br w:type="page"/>
      </w:r>
    </w:p>
    <w:p w14:paraId="40C84D60" w14:textId="77777777" w:rsidR="00EB5E16" w:rsidRPr="009335DA" w:rsidRDefault="00EB5E16" w:rsidP="009335DA">
      <w:pPr>
        <w:rPr>
          <w:rFonts w:ascii="Expert Sans Regular" w:hAnsi="Expert Sans Regular"/>
          <w:b/>
          <w:sz w:val="28"/>
          <w:szCs w:val="21"/>
        </w:rPr>
      </w:pPr>
      <w:r w:rsidRPr="009335DA">
        <w:rPr>
          <w:rFonts w:ascii="Expert Sans Regular" w:hAnsi="Expert Sans Regular"/>
          <w:b/>
          <w:sz w:val="28"/>
          <w:szCs w:val="21"/>
        </w:rPr>
        <w:lastRenderedPageBreak/>
        <w:t>Detailed response</w:t>
      </w:r>
      <w:r w:rsidR="00BB0E30" w:rsidRPr="009335DA">
        <w:rPr>
          <w:rFonts w:ascii="Expert Sans Regular" w:hAnsi="Expert Sans Regular"/>
          <w:b/>
          <w:sz w:val="28"/>
          <w:szCs w:val="21"/>
        </w:rPr>
        <w:t xml:space="preserve"> linked to Green Paper questions:</w:t>
      </w:r>
    </w:p>
    <w:p w14:paraId="40C84D61" w14:textId="77777777" w:rsidR="001B61D9" w:rsidRPr="009335DA" w:rsidRDefault="00EB5E16" w:rsidP="00EB5E16">
      <w:pPr>
        <w:rPr>
          <w:rFonts w:ascii="Expert Sans Regular" w:hAnsi="Expert Sans Regular"/>
          <w:b/>
          <w:sz w:val="24"/>
          <w:szCs w:val="21"/>
          <w:u w:val="single"/>
        </w:rPr>
      </w:pPr>
      <w:r w:rsidRPr="009335DA">
        <w:rPr>
          <w:rFonts w:ascii="Expert Sans Regular" w:hAnsi="Expert Sans Regular"/>
          <w:b/>
          <w:sz w:val="24"/>
          <w:szCs w:val="21"/>
          <w:u w:val="single"/>
        </w:rPr>
        <w:t xml:space="preserve">Question </w:t>
      </w:r>
      <w:r w:rsidR="00811478" w:rsidRPr="009335DA">
        <w:rPr>
          <w:rFonts w:ascii="Expert Sans Regular" w:hAnsi="Expert Sans Regular"/>
          <w:b/>
          <w:sz w:val="24"/>
          <w:szCs w:val="21"/>
          <w:u w:val="single"/>
        </w:rPr>
        <w:t xml:space="preserve">5. </w:t>
      </w:r>
      <w:r w:rsidR="00C25B30" w:rsidRPr="009335DA">
        <w:rPr>
          <w:rFonts w:ascii="Expert Sans Regular" w:hAnsi="Expert Sans Regular"/>
          <w:b/>
          <w:sz w:val="24"/>
          <w:szCs w:val="21"/>
          <w:u w:val="single"/>
        </w:rPr>
        <w:t>Supporting people</w:t>
      </w:r>
      <w:r w:rsidR="0029420D" w:rsidRPr="009335DA">
        <w:rPr>
          <w:rFonts w:ascii="Expert Sans Regular" w:hAnsi="Expert Sans Regular"/>
          <w:b/>
          <w:sz w:val="24"/>
          <w:szCs w:val="21"/>
          <w:u w:val="single"/>
        </w:rPr>
        <w:t xml:space="preserve"> into work</w:t>
      </w:r>
    </w:p>
    <w:p w14:paraId="40C84D62" w14:textId="77777777" w:rsidR="00394E9D" w:rsidRPr="009335DA" w:rsidRDefault="00394E9D">
      <w:pPr>
        <w:rPr>
          <w:rFonts w:ascii="Expert Sans Regular" w:hAnsi="Expert Sans Regular"/>
          <w:b/>
          <w:i/>
          <w:szCs w:val="21"/>
        </w:rPr>
      </w:pPr>
      <w:r w:rsidRPr="009335DA">
        <w:rPr>
          <w:rFonts w:ascii="Expert Sans Regular" w:hAnsi="Expert Sans Regular"/>
          <w:b/>
          <w:i/>
          <w:szCs w:val="21"/>
        </w:rPr>
        <w:t>What have you as an employer done to provide supported internships and what were the barriers?</w:t>
      </w:r>
    </w:p>
    <w:p w14:paraId="40C84D63" w14:textId="77777777" w:rsidR="00C25B30" w:rsidRPr="009335DA" w:rsidRDefault="00C25B30" w:rsidP="00EB5E16">
      <w:pPr>
        <w:spacing w:after="0"/>
        <w:rPr>
          <w:rFonts w:ascii="Expert Sans Regular" w:hAnsi="Expert Sans Regular"/>
          <w:b/>
          <w:szCs w:val="21"/>
        </w:rPr>
      </w:pPr>
      <w:r w:rsidRPr="009335DA">
        <w:rPr>
          <w:rFonts w:ascii="Expert Sans Regular" w:hAnsi="Expert Sans Regular"/>
          <w:b/>
          <w:szCs w:val="21"/>
        </w:rPr>
        <w:t xml:space="preserve">Strengthening </w:t>
      </w:r>
      <w:r w:rsidR="00BB0E30" w:rsidRPr="009335DA">
        <w:rPr>
          <w:rFonts w:ascii="Expert Sans Regular" w:hAnsi="Expert Sans Regular"/>
          <w:b/>
          <w:szCs w:val="21"/>
        </w:rPr>
        <w:t xml:space="preserve">recruitment </w:t>
      </w:r>
      <w:r w:rsidRPr="009335DA">
        <w:rPr>
          <w:rFonts w:ascii="Expert Sans Regular" w:hAnsi="Expert Sans Regular"/>
          <w:b/>
          <w:szCs w:val="21"/>
        </w:rPr>
        <w:t>processes:</w:t>
      </w:r>
    </w:p>
    <w:p w14:paraId="40C84D64" w14:textId="77777777" w:rsidR="00C25B30" w:rsidRPr="008A7F92" w:rsidRDefault="00C25B30">
      <w:pPr>
        <w:rPr>
          <w:rFonts w:ascii="Expert Sans Regular" w:hAnsi="Expert Sans Regular"/>
          <w:sz w:val="21"/>
          <w:szCs w:val="21"/>
        </w:rPr>
      </w:pPr>
      <w:r w:rsidRPr="008A7F92">
        <w:rPr>
          <w:rFonts w:ascii="Expert Sans Regular" w:hAnsi="Expert Sans Regular"/>
          <w:sz w:val="21"/>
          <w:szCs w:val="21"/>
        </w:rPr>
        <w:t xml:space="preserve">Barclays is fully supportive of scaling up supported internships for people with disabilities and has its own programme </w:t>
      </w:r>
      <w:r w:rsidR="00E20FB1">
        <w:rPr>
          <w:rFonts w:ascii="Expert Sans Regular" w:hAnsi="Expert Sans Regular"/>
          <w:sz w:val="21"/>
          <w:szCs w:val="21"/>
        </w:rPr>
        <w:t>to drive this forward:</w:t>
      </w:r>
      <w:r w:rsidRPr="008A7F92">
        <w:rPr>
          <w:rFonts w:ascii="Expert Sans Regular" w:hAnsi="Expert Sans Regular"/>
          <w:sz w:val="21"/>
          <w:szCs w:val="21"/>
        </w:rPr>
        <w:t xml:space="preserve"> Able to Enable.</w:t>
      </w:r>
      <w:r w:rsidR="00E20FB1" w:rsidRPr="00E20FB1">
        <w:rPr>
          <w:rFonts w:ascii="Expert Sans Regular" w:hAnsi="Expert Sans Regular"/>
          <w:sz w:val="21"/>
          <w:szCs w:val="21"/>
        </w:rPr>
        <w:t xml:space="preserve"> </w:t>
      </w:r>
      <w:r w:rsidR="00E20FB1">
        <w:rPr>
          <w:rFonts w:ascii="Expert Sans Regular" w:hAnsi="Expert Sans Regular"/>
          <w:sz w:val="21"/>
          <w:szCs w:val="21"/>
        </w:rPr>
        <w:t xml:space="preserve">We recognise that such programmes </w:t>
      </w:r>
      <w:r w:rsidR="00E20FB1" w:rsidRPr="008A7F92">
        <w:rPr>
          <w:rFonts w:ascii="Expert Sans Regular" w:hAnsi="Expert Sans Regular"/>
          <w:sz w:val="21"/>
          <w:szCs w:val="21"/>
        </w:rPr>
        <w:t>are beneficial for people of all ages.</w:t>
      </w:r>
    </w:p>
    <w:p w14:paraId="40C84D65" w14:textId="77777777" w:rsidR="009335DA" w:rsidRDefault="00C25B30">
      <w:pPr>
        <w:rPr>
          <w:rFonts w:ascii="Expert Sans Regular" w:hAnsi="Expert Sans Regular"/>
          <w:sz w:val="21"/>
          <w:szCs w:val="21"/>
        </w:rPr>
      </w:pPr>
      <w:r w:rsidRPr="008A7F92">
        <w:rPr>
          <w:rFonts w:ascii="Expert Sans Regular" w:hAnsi="Expert Sans Regular"/>
          <w:sz w:val="21"/>
          <w:szCs w:val="21"/>
        </w:rPr>
        <w:t>We would</w:t>
      </w:r>
      <w:r w:rsidR="00BB0E30">
        <w:rPr>
          <w:rFonts w:ascii="Expert Sans Regular" w:hAnsi="Expert Sans Regular"/>
          <w:sz w:val="21"/>
          <w:szCs w:val="21"/>
        </w:rPr>
        <w:t>,</w:t>
      </w:r>
      <w:r w:rsidRPr="008A7F92">
        <w:rPr>
          <w:rFonts w:ascii="Expert Sans Regular" w:hAnsi="Expert Sans Regular"/>
          <w:sz w:val="21"/>
          <w:szCs w:val="21"/>
        </w:rPr>
        <w:t xml:space="preserve"> however</w:t>
      </w:r>
      <w:r w:rsidR="00BB0E30">
        <w:rPr>
          <w:rFonts w:ascii="Expert Sans Regular" w:hAnsi="Expert Sans Regular"/>
          <w:sz w:val="21"/>
          <w:szCs w:val="21"/>
        </w:rPr>
        <w:t>,</w:t>
      </w:r>
      <w:r w:rsidRPr="008A7F92">
        <w:rPr>
          <w:rFonts w:ascii="Expert Sans Regular" w:hAnsi="Expert Sans Regular"/>
          <w:sz w:val="21"/>
          <w:szCs w:val="21"/>
        </w:rPr>
        <w:t xml:space="preserve"> recommend that </w:t>
      </w:r>
      <w:r w:rsidR="00E20FB1">
        <w:rPr>
          <w:rFonts w:ascii="Expert Sans Regular" w:hAnsi="Expert Sans Regular"/>
          <w:sz w:val="21"/>
          <w:szCs w:val="21"/>
        </w:rPr>
        <w:t>DWP pre-employment programmes and DFE train</w:t>
      </w:r>
      <w:r w:rsidR="00A60DE3">
        <w:rPr>
          <w:rFonts w:ascii="Expert Sans Regular" w:hAnsi="Expert Sans Regular"/>
          <w:sz w:val="21"/>
          <w:szCs w:val="21"/>
        </w:rPr>
        <w:t>ee</w:t>
      </w:r>
      <w:r w:rsidR="00E20FB1">
        <w:rPr>
          <w:rFonts w:ascii="Expert Sans Regular" w:hAnsi="Expert Sans Regular"/>
          <w:sz w:val="21"/>
          <w:szCs w:val="21"/>
        </w:rPr>
        <w:t xml:space="preserve">ship programmes </w:t>
      </w:r>
      <w:r w:rsidR="00855EC0">
        <w:rPr>
          <w:rFonts w:ascii="Expert Sans Regular" w:hAnsi="Expert Sans Regular"/>
          <w:sz w:val="21"/>
          <w:szCs w:val="21"/>
        </w:rPr>
        <w:t>sh</w:t>
      </w:r>
      <w:r w:rsidR="00E20FB1">
        <w:rPr>
          <w:rFonts w:ascii="Expert Sans Regular" w:hAnsi="Expert Sans Regular"/>
          <w:sz w:val="21"/>
          <w:szCs w:val="21"/>
        </w:rPr>
        <w:t>ould be re-aligned to develop a single, all-age pre-apprenticeship programme.</w:t>
      </w:r>
      <w:r w:rsidR="00E20FB1" w:rsidRPr="008A7F92">
        <w:rPr>
          <w:rFonts w:ascii="Expert Sans Regular" w:hAnsi="Expert Sans Regular"/>
          <w:sz w:val="21"/>
          <w:szCs w:val="21"/>
        </w:rPr>
        <w:t xml:space="preserve"> </w:t>
      </w:r>
      <w:r w:rsidR="00E20FB1">
        <w:rPr>
          <w:rFonts w:ascii="Expert Sans Regular" w:hAnsi="Expert Sans Regular"/>
          <w:sz w:val="21"/>
          <w:szCs w:val="21"/>
        </w:rPr>
        <w:t>At Barclays, w</w:t>
      </w:r>
      <w:r w:rsidRPr="008A7F92">
        <w:rPr>
          <w:rFonts w:ascii="Expert Sans Regular" w:hAnsi="Expert Sans Regular"/>
          <w:sz w:val="21"/>
          <w:szCs w:val="21"/>
        </w:rPr>
        <w:t>e partner with Remploy to identify suitable people for our internships</w:t>
      </w:r>
      <w:r w:rsidR="00F836F5">
        <w:rPr>
          <w:rFonts w:ascii="Expert Sans Regular" w:hAnsi="Expert Sans Regular"/>
          <w:sz w:val="21"/>
          <w:szCs w:val="21"/>
        </w:rPr>
        <w:t>,</w:t>
      </w:r>
      <w:r w:rsidRPr="008A7F92">
        <w:rPr>
          <w:rFonts w:ascii="Expert Sans Regular" w:hAnsi="Expert Sans Regular"/>
          <w:sz w:val="21"/>
          <w:szCs w:val="21"/>
        </w:rPr>
        <w:t xml:space="preserve"> and Capita to identify candidates with disabilities for our apprenticeship programme. </w:t>
      </w:r>
      <w:hyperlink r:id="rId13" w:history="1">
        <w:r w:rsidR="009335DA" w:rsidRPr="002D723A">
          <w:rPr>
            <w:rStyle w:val="Hyperlink"/>
            <w:rFonts w:ascii="Expert Sans Regular" w:hAnsi="Expert Sans Regular"/>
            <w:sz w:val="21"/>
            <w:szCs w:val="21"/>
          </w:rPr>
          <w:t>http://joinus.barclays.com/emea/apprenticeships/</w:t>
        </w:r>
      </w:hyperlink>
    </w:p>
    <w:p w14:paraId="40C84D66" w14:textId="77777777" w:rsidR="00C25B30" w:rsidRPr="008A7F92" w:rsidRDefault="00C25B30">
      <w:pPr>
        <w:rPr>
          <w:rFonts w:ascii="Expert Sans Regular" w:hAnsi="Expert Sans Regular"/>
          <w:sz w:val="21"/>
          <w:szCs w:val="21"/>
        </w:rPr>
      </w:pPr>
      <w:r w:rsidRPr="008A7F92">
        <w:rPr>
          <w:rFonts w:ascii="Expert Sans Regular" w:hAnsi="Expert Sans Regular"/>
          <w:sz w:val="21"/>
          <w:szCs w:val="21"/>
        </w:rPr>
        <w:t>We recommend business</w:t>
      </w:r>
      <w:r w:rsidR="00394E9D" w:rsidRPr="008A7F92">
        <w:rPr>
          <w:rFonts w:ascii="Expert Sans Regular" w:hAnsi="Expert Sans Regular"/>
          <w:sz w:val="21"/>
          <w:szCs w:val="21"/>
        </w:rPr>
        <w:t>es</w:t>
      </w:r>
      <w:r w:rsidRPr="008A7F92">
        <w:rPr>
          <w:rFonts w:ascii="Expert Sans Regular" w:hAnsi="Expert Sans Regular"/>
          <w:sz w:val="21"/>
          <w:szCs w:val="21"/>
        </w:rPr>
        <w:t xml:space="preserve"> increase their </w:t>
      </w:r>
      <w:r w:rsidR="00855EC0">
        <w:rPr>
          <w:rFonts w:ascii="Expert Sans Regular" w:hAnsi="Expert Sans Regular"/>
          <w:sz w:val="21"/>
          <w:szCs w:val="21"/>
        </w:rPr>
        <w:t>percentage</w:t>
      </w:r>
      <w:r w:rsidRPr="008A7F92">
        <w:rPr>
          <w:rFonts w:ascii="Expert Sans Regular" w:hAnsi="Expert Sans Regular"/>
          <w:sz w:val="21"/>
          <w:szCs w:val="21"/>
        </w:rPr>
        <w:t xml:space="preserve"> of people with disabilities taking up suitable apprentices</w:t>
      </w:r>
      <w:r w:rsidR="00855EC0">
        <w:rPr>
          <w:rFonts w:ascii="Expert Sans Regular" w:hAnsi="Expert Sans Regular"/>
          <w:sz w:val="21"/>
          <w:szCs w:val="21"/>
        </w:rPr>
        <w:t>hips</w:t>
      </w:r>
      <w:r w:rsidRPr="008A7F92">
        <w:rPr>
          <w:rFonts w:ascii="Expert Sans Regular" w:hAnsi="Expert Sans Regular"/>
          <w:sz w:val="21"/>
          <w:szCs w:val="21"/>
        </w:rPr>
        <w:t xml:space="preserve"> and that the right steps are put in place to support them in that recruitment process. </w:t>
      </w:r>
      <w:r w:rsidR="0029420D">
        <w:rPr>
          <w:rFonts w:ascii="Expert Sans Regular" w:hAnsi="Expert Sans Regular"/>
          <w:sz w:val="21"/>
          <w:szCs w:val="21"/>
        </w:rPr>
        <w:t>At Barclays, o</w:t>
      </w:r>
      <w:r w:rsidR="00A60DE3">
        <w:rPr>
          <w:rFonts w:ascii="Expert Sans Regular" w:hAnsi="Expert Sans Regular"/>
          <w:sz w:val="21"/>
          <w:szCs w:val="21"/>
        </w:rPr>
        <w:t>ur ambition is to achieve a minimum of 10% of people with disabilities taking part in our Early Careers programmes.</w:t>
      </w:r>
      <w:r w:rsidR="000828D9">
        <w:rPr>
          <w:rFonts w:ascii="Expert Sans Regular" w:hAnsi="Expert Sans Regular"/>
          <w:sz w:val="21"/>
          <w:szCs w:val="21"/>
        </w:rPr>
        <w:t xml:space="preserve"> We</w:t>
      </w:r>
      <w:r w:rsidR="00E20FB1">
        <w:rPr>
          <w:rFonts w:ascii="Expert Sans Regular" w:hAnsi="Expert Sans Regular"/>
          <w:sz w:val="21"/>
          <w:szCs w:val="21"/>
        </w:rPr>
        <w:t xml:space="preserve"> also believe </w:t>
      </w:r>
      <w:r w:rsidR="000828D9">
        <w:rPr>
          <w:rFonts w:ascii="Expert Sans Regular" w:hAnsi="Expert Sans Regular"/>
          <w:sz w:val="21"/>
          <w:szCs w:val="21"/>
        </w:rPr>
        <w:t>employers should be able to invest a percentage of their levy funding on pre-apprenticeships programmes and take ownership of programme design.</w:t>
      </w:r>
    </w:p>
    <w:p w14:paraId="40C84D67" w14:textId="77777777" w:rsidR="00C25B30" w:rsidRPr="008A7F92" w:rsidRDefault="00C25B30">
      <w:pPr>
        <w:rPr>
          <w:rFonts w:ascii="Expert Sans Regular" w:hAnsi="Expert Sans Regular"/>
          <w:sz w:val="21"/>
          <w:szCs w:val="21"/>
        </w:rPr>
      </w:pPr>
      <w:r w:rsidRPr="008A7F92">
        <w:rPr>
          <w:rFonts w:ascii="Expert Sans Regular" w:hAnsi="Expert Sans Regular"/>
          <w:sz w:val="21"/>
          <w:szCs w:val="21"/>
        </w:rPr>
        <w:t xml:space="preserve">Businesses should recognise that some environments and roles do not lend themselves to employing people with </w:t>
      </w:r>
      <w:r w:rsidR="0019537A">
        <w:rPr>
          <w:rFonts w:ascii="Expert Sans Regular" w:hAnsi="Expert Sans Regular"/>
          <w:sz w:val="21"/>
          <w:szCs w:val="21"/>
        </w:rPr>
        <w:t xml:space="preserve"> certain types of physical </w:t>
      </w:r>
      <w:r w:rsidRPr="008A7F92">
        <w:rPr>
          <w:rFonts w:ascii="Expert Sans Regular" w:hAnsi="Expert Sans Regular"/>
          <w:sz w:val="21"/>
          <w:szCs w:val="21"/>
        </w:rPr>
        <w:t>disabilit</w:t>
      </w:r>
      <w:r w:rsidR="0019537A">
        <w:rPr>
          <w:rFonts w:ascii="Expert Sans Regular" w:hAnsi="Expert Sans Regular"/>
          <w:sz w:val="21"/>
          <w:szCs w:val="21"/>
        </w:rPr>
        <w:t>y where environments may restrict mobility and accessibility is currently limited</w:t>
      </w:r>
      <w:r w:rsidRPr="008A7F92">
        <w:rPr>
          <w:rFonts w:ascii="Expert Sans Regular" w:hAnsi="Expert Sans Regular"/>
          <w:sz w:val="21"/>
          <w:szCs w:val="21"/>
        </w:rPr>
        <w:t xml:space="preserve"> e</w:t>
      </w:r>
      <w:r w:rsidR="00855EC0">
        <w:rPr>
          <w:rFonts w:ascii="Expert Sans Regular" w:hAnsi="Expert Sans Regular"/>
          <w:sz w:val="21"/>
          <w:szCs w:val="21"/>
        </w:rPr>
        <w:t>.</w:t>
      </w:r>
      <w:r w:rsidRPr="008A7F92">
        <w:rPr>
          <w:rFonts w:ascii="Expert Sans Regular" w:hAnsi="Expert Sans Regular"/>
          <w:sz w:val="21"/>
          <w:szCs w:val="21"/>
        </w:rPr>
        <w:t>g</w:t>
      </w:r>
      <w:r w:rsidR="00855EC0">
        <w:rPr>
          <w:rFonts w:ascii="Expert Sans Regular" w:hAnsi="Expert Sans Regular"/>
          <w:sz w:val="21"/>
          <w:szCs w:val="21"/>
        </w:rPr>
        <w:t>.</w:t>
      </w:r>
      <w:r w:rsidRPr="008A7F92">
        <w:rPr>
          <w:rFonts w:ascii="Expert Sans Regular" w:hAnsi="Expert Sans Regular"/>
          <w:sz w:val="21"/>
          <w:szCs w:val="21"/>
        </w:rPr>
        <w:t xml:space="preserve"> some bank branches. Barclays has learnt that there is more to do to improve situations of physical accessibility</w:t>
      </w:r>
      <w:r w:rsidR="00E057D7" w:rsidRPr="008A7F92">
        <w:rPr>
          <w:rFonts w:ascii="Expert Sans Regular" w:hAnsi="Expert Sans Regular"/>
          <w:sz w:val="21"/>
          <w:szCs w:val="21"/>
        </w:rPr>
        <w:t xml:space="preserve"> to open up more employment opportunities. Business also needs to do more to simplify recruitment processes</w:t>
      </w:r>
      <w:r w:rsidR="00394E9D" w:rsidRPr="008A7F92">
        <w:rPr>
          <w:rFonts w:ascii="Expert Sans Regular" w:hAnsi="Expert Sans Regular"/>
          <w:sz w:val="21"/>
          <w:szCs w:val="21"/>
        </w:rPr>
        <w:t>,</w:t>
      </w:r>
      <w:r w:rsidR="00E057D7" w:rsidRPr="008A7F92">
        <w:rPr>
          <w:rFonts w:ascii="Expert Sans Regular" w:hAnsi="Expert Sans Regular"/>
          <w:sz w:val="21"/>
          <w:szCs w:val="21"/>
        </w:rPr>
        <w:t xml:space="preserve"> and challenge myths and stigma around recruiting people with disabilities</w:t>
      </w:r>
      <w:r w:rsidR="0029420D">
        <w:rPr>
          <w:rFonts w:ascii="Expert Sans Regular" w:hAnsi="Expert Sans Regular"/>
          <w:sz w:val="21"/>
          <w:szCs w:val="21"/>
        </w:rPr>
        <w:t xml:space="preserve"> ( see our recommendation around a campaign)</w:t>
      </w:r>
      <w:r w:rsidR="00E057D7" w:rsidRPr="008A7F92">
        <w:rPr>
          <w:rFonts w:ascii="Expert Sans Regular" w:hAnsi="Expert Sans Regular"/>
          <w:sz w:val="21"/>
          <w:szCs w:val="21"/>
        </w:rPr>
        <w:t>.</w:t>
      </w:r>
    </w:p>
    <w:p w14:paraId="40C84D68" w14:textId="77777777" w:rsidR="00811478" w:rsidRPr="009335DA" w:rsidRDefault="00811478" w:rsidP="00EB5E16">
      <w:pPr>
        <w:spacing w:after="0"/>
        <w:rPr>
          <w:rFonts w:ascii="Expert Sans Regular" w:hAnsi="Expert Sans Regular"/>
          <w:b/>
          <w:szCs w:val="21"/>
        </w:rPr>
      </w:pPr>
      <w:r w:rsidRPr="009335DA">
        <w:rPr>
          <w:rFonts w:ascii="Expert Sans Regular" w:hAnsi="Expert Sans Regular"/>
          <w:b/>
          <w:szCs w:val="21"/>
        </w:rPr>
        <w:t>Improving knowledge/ awareness</w:t>
      </w:r>
      <w:r w:rsidR="00394E9D" w:rsidRPr="009335DA">
        <w:rPr>
          <w:rFonts w:ascii="Expert Sans Regular" w:hAnsi="Expert Sans Regular"/>
          <w:b/>
          <w:szCs w:val="21"/>
        </w:rPr>
        <w:t>:</w:t>
      </w:r>
    </w:p>
    <w:p w14:paraId="40C84D69" w14:textId="77777777" w:rsidR="00E057D7" w:rsidRPr="008A7F92" w:rsidRDefault="00E057D7">
      <w:pPr>
        <w:rPr>
          <w:rFonts w:ascii="Expert Sans Regular" w:hAnsi="Expert Sans Regular"/>
          <w:sz w:val="21"/>
          <w:szCs w:val="21"/>
        </w:rPr>
      </w:pPr>
      <w:r w:rsidRPr="008A7F92">
        <w:rPr>
          <w:rFonts w:ascii="Expert Sans Regular" w:hAnsi="Expert Sans Regular"/>
          <w:sz w:val="21"/>
          <w:szCs w:val="21"/>
        </w:rPr>
        <w:t>Barclays experience of proactively recruiting people with disabilities suggests there is lack of knowledge in schools and colleges about the business opportunities available</w:t>
      </w:r>
      <w:r w:rsidR="003317D5" w:rsidRPr="008A7F92">
        <w:rPr>
          <w:rFonts w:ascii="Expert Sans Regular" w:hAnsi="Expert Sans Regular"/>
          <w:sz w:val="21"/>
          <w:szCs w:val="21"/>
        </w:rPr>
        <w:t xml:space="preserve"> and that employers are </w:t>
      </w:r>
      <w:r w:rsidR="00A426F9">
        <w:rPr>
          <w:rFonts w:ascii="Expert Sans Regular" w:hAnsi="Expert Sans Regular"/>
          <w:sz w:val="21"/>
          <w:szCs w:val="21"/>
        </w:rPr>
        <w:t xml:space="preserve">now </w:t>
      </w:r>
      <w:r w:rsidR="003317D5" w:rsidRPr="008A7F92">
        <w:rPr>
          <w:rFonts w:ascii="Expert Sans Regular" w:hAnsi="Expert Sans Regular"/>
          <w:sz w:val="21"/>
          <w:szCs w:val="21"/>
        </w:rPr>
        <w:t xml:space="preserve">looking more to judge applicants on </w:t>
      </w:r>
      <w:r w:rsidR="00A60DE3">
        <w:rPr>
          <w:rFonts w:ascii="Expert Sans Regular" w:hAnsi="Expert Sans Regular"/>
          <w:sz w:val="21"/>
          <w:szCs w:val="21"/>
        </w:rPr>
        <w:t xml:space="preserve">potential and </w:t>
      </w:r>
      <w:r w:rsidR="003317D5" w:rsidRPr="008A7F92">
        <w:rPr>
          <w:rFonts w:ascii="Expert Sans Regular" w:hAnsi="Expert Sans Regular"/>
          <w:sz w:val="21"/>
          <w:szCs w:val="21"/>
        </w:rPr>
        <w:t>merit rather than disability</w:t>
      </w:r>
      <w:r w:rsidR="00394E9D" w:rsidRPr="008A7F92">
        <w:rPr>
          <w:rFonts w:ascii="Expert Sans Regular" w:hAnsi="Expert Sans Regular"/>
          <w:sz w:val="21"/>
          <w:szCs w:val="21"/>
        </w:rPr>
        <w:t xml:space="preserve">. </w:t>
      </w:r>
      <w:r w:rsidR="00EB5E16">
        <w:rPr>
          <w:rFonts w:ascii="Expert Sans Regular" w:hAnsi="Expert Sans Regular"/>
          <w:sz w:val="21"/>
          <w:szCs w:val="21"/>
        </w:rPr>
        <w:t>Heightened awareness in education institutions</w:t>
      </w:r>
      <w:r w:rsidR="003317D5" w:rsidRPr="008A7F92">
        <w:rPr>
          <w:rFonts w:ascii="Expert Sans Regular" w:hAnsi="Expert Sans Regular"/>
          <w:sz w:val="21"/>
          <w:szCs w:val="21"/>
        </w:rPr>
        <w:t xml:space="preserve"> is needed to build the confidence of young people with disabilities to apply for these opportunities. </w:t>
      </w:r>
    </w:p>
    <w:p w14:paraId="40C84D6A" w14:textId="77777777" w:rsidR="003317D5" w:rsidRPr="009335DA" w:rsidRDefault="00D32E93">
      <w:pPr>
        <w:rPr>
          <w:rFonts w:ascii="Expert Sans Regular" w:hAnsi="Expert Sans Regular"/>
          <w:b/>
          <w:sz w:val="24"/>
          <w:szCs w:val="21"/>
          <w:u w:val="single"/>
        </w:rPr>
      </w:pPr>
      <w:r w:rsidRPr="009335DA">
        <w:rPr>
          <w:rFonts w:ascii="Expert Sans Regular" w:hAnsi="Expert Sans Regular"/>
          <w:b/>
          <w:sz w:val="24"/>
          <w:szCs w:val="21"/>
          <w:u w:val="single"/>
        </w:rPr>
        <w:t xml:space="preserve">Question </w:t>
      </w:r>
      <w:r w:rsidR="00811478" w:rsidRPr="009335DA">
        <w:rPr>
          <w:rFonts w:ascii="Expert Sans Regular" w:hAnsi="Expert Sans Regular"/>
          <w:b/>
          <w:sz w:val="24"/>
          <w:szCs w:val="21"/>
          <w:u w:val="single"/>
        </w:rPr>
        <w:t>8. Embedding supportive practices and cultures</w:t>
      </w:r>
    </w:p>
    <w:p w14:paraId="40C84D6B" w14:textId="77777777" w:rsidR="00394E9D" w:rsidRPr="009335DA" w:rsidRDefault="00394E9D">
      <w:pPr>
        <w:rPr>
          <w:rFonts w:ascii="Expert Sans Regular" w:hAnsi="Expert Sans Regular"/>
          <w:b/>
          <w:i/>
          <w:szCs w:val="21"/>
        </w:rPr>
      </w:pPr>
      <w:r w:rsidRPr="009335DA">
        <w:rPr>
          <w:rFonts w:ascii="Expert Sans Regular" w:hAnsi="Expert Sans Regular"/>
          <w:b/>
          <w:i/>
          <w:szCs w:val="21"/>
        </w:rPr>
        <w:t>What are the key barriers preventing employers recruiting and retaining the talent of disabled people and people with health conditions?</w:t>
      </w:r>
    </w:p>
    <w:p w14:paraId="40C84D6C" w14:textId="77777777" w:rsidR="00394E9D" w:rsidRPr="009335DA" w:rsidRDefault="00394E9D" w:rsidP="00EB5E16">
      <w:pPr>
        <w:spacing w:after="0"/>
        <w:rPr>
          <w:rFonts w:ascii="Expert Sans Regular" w:hAnsi="Expert Sans Regular"/>
          <w:b/>
          <w:szCs w:val="21"/>
        </w:rPr>
      </w:pPr>
      <w:r w:rsidRPr="009335DA">
        <w:rPr>
          <w:rFonts w:ascii="Expert Sans Regular" w:hAnsi="Expert Sans Regular"/>
          <w:b/>
          <w:szCs w:val="21"/>
        </w:rPr>
        <w:t xml:space="preserve">Strengthening </w:t>
      </w:r>
      <w:r w:rsidR="00F836F5" w:rsidRPr="009335DA">
        <w:rPr>
          <w:rFonts w:ascii="Expert Sans Regular" w:hAnsi="Expert Sans Regular"/>
          <w:b/>
          <w:szCs w:val="21"/>
        </w:rPr>
        <w:t xml:space="preserve">recruitment </w:t>
      </w:r>
      <w:r w:rsidRPr="009335DA">
        <w:rPr>
          <w:rFonts w:ascii="Expert Sans Regular" w:hAnsi="Expert Sans Regular"/>
          <w:b/>
          <w:szCs w:val="21"/>
        </w:rPr>
        <w:t>processes:</w:t>
      </w:r>
    </w:p>
    <w:p w14:paraId="40C84D6D" w14:textId="77777777" w:rsidR="00811478" w:rsidRDefault="00811478">
      <w:pPr>
        <w:rPr>
          <w:rFonts w:ascii="Expert Sans Regular" w:hAnsi="Expert Sans Regular"/>
          <w:sz w:val="21"/>
          <w:szCs w:val="21"/>
        </w:rPr>
      </w:pPr>
      <w:r w:rsidRPr="008A7F92">
        <w:rPr>
          <w:rFonts w:ascii="Expert Sans Regular" w:hAnsi="Expert Sans Regular"/>
          <w:sz w:val="21"/>
          <w:szCs w:val="21"/>
        </w:rPr>
        <w:t xml:space="preserve">The </w:t>
      </w:r>
      <w:r w:rsidR="00855EC0">
        <w:rPr>
          <w:rFonts w:ascii="Expert Sans Regular" w:hAnsi="Expert Sans Regular"/>
          <w:sz w:val="21"/>
          <w:szCs w:val="21"/>
        </w:rPr>
        <w:t xml:space="preserve">Green </w:t>
      </w:r>
      <w:r w:rsidRPr="008A7F92">
        <w:rPr>
          <w:rFonts w:ascii="Expert Sans Regular" w:hAnsi="Expert Sans Regular"/>
          <w:sz w:val="21"/>
          <w:szCs w:val="21"/>
        </w:rPr>
        <w:t>Paper clearly focuses on work for those with disabilities, but it should better acknowledge that most people will acquire a disability</w:t>
      </w:r>
      <w:r w:rsidR="00F836F5">
        <w:rPr>
          <w:rFonts w:ascii="Expert Sans Regular" w:hAnsi="Expert Sans Regular"/>
          <w:sz w:val="21"/>
          <w:szCs w:val="21"/>
        </w:rPr>
        <w:t>,</w:t>
      </w:r>
      <w:r w:rsidRPr="008A7F92">
        <w:rPr>
          <w:rFonts w:ascii="Expert Sans Regular" w:hAnsi="Expert Sans Regular"/>
          <w:sz w:val="21"/>
          <w:szCs w:val="21"/>
        </w:rPr>
        <w:t xml:space="preserve"> or </w:t>
      </w:r>
      <w:r w:rsidR="00F836F5">
        <w:rPr>
          <w:rFonts w:ascii="Expert Sans Regular" w:hAnsi="Expert Sans Regular"/>
          <w:sz w:val="21"/>
          <w:szCs w:val="21"/>
        </w:rPr>
        <w:t xml:space="preserve">a long or short term </w:t>
      </w:r>
      <w:r w:rsidRPr="008A7F92">
        <w:rPr>
          <w:rFonts w:ascii="Expert Sans Regular" w:hAnsi="Expert Sans Regular"/>
          <w:sz w:val="21"/>
          <w:szCs w:val="21"/>
        </w:rPr>
        <w:t>health condition</w:t>
      </w:r>
      <w:r w:rsidR="00F836F5">
        <w:rPr>
          <w:rFonts w:ascii="Expert Sans Regular" w:hAnsi="Expert Sans Regular"/>
          <w:sz w:val="21"/>
          <w:szCs w:val="21"/>
        </w:rPr>
        <w:t>,</w:t>
      </w:r>
      <w:r w:rsidRPr="008A7F92">
        <w:rPr>
          <w:rFonts w:ascii="Expert Sans Regular" w:hAnsi="Expert Sans Regular"/>
          <w:sz w:val="21"/>
          <w:szCs w:val="21"/>
        </w:rPr>
        <w:t xml:space="preserve"> </w:t>
      </w:r>
      <w:r w:rsidRPr="008A7F92">
        <w:rPr>
          <w:rFonts w:ascii="Expert Sans Regular" w:hAnsi="Expert Sans Regular"/>
          <w:sz w:val="21"/>
          <w:szCs w:val="21"/>
        </w:rPr>
        <w:lastRenderedPageBreak/>
        <w:t>whilst they are in employment</w:t>
      </w:r>
      <w:r w:rsidR="00F836F5">
        <w:rPr>
          <w:rFonts w:ascii="Expert Sans Regular" w:hAnsi="Expert Sans Regular"/>
          <w:sz w:val="21"/>
          <w:szCs w:val="21"/>
        </w:rPr>
        <w:t xml:space="preserve"> and therefore should reflect a broader definition of health conditions beyond the Equality Act</w:t>
      </w:r>
      <w:r w:rsidRPr="008A7F92">
        <w:rPr>
          <w:rFonts w:ascii="Expert Sans Regular" w:hAnsi="Expert Sans Regular"/>
          <w:sz w:val="21"/>
          <w:szCs w:val="21"/>
        </w:rPr>
        <w:t xml:space="preserve">. </w:t>
      </w:r>
      <w:r w:rsidR="00F836F5">
        <w:rPr>
          <w:rFonts w:ascii="Expert Sans Regular" w:hAnsi="Expert Sans Regular"/>
          <w:sz w:val="21"/>
          <w:szCs w:val="21"/>
        </w:rPr>
        <w:t>T</w:t>
      </w:r>
      <w:r w:rsidRPr="0029420D">
        <w:rPr>
          <w:rFonts w:ascii="Expert Sans Regular" w:hAnsi="Expert Sans Regular"/>
          <w:sz w:val="21"/>
          <w:szCs w:val="21"/>
        </w:rPr>
        <w:t xml:space="preserve">here is a need to </w:t>
      </w:r>
      <w:r w:rsidR="00EB5E16" w:rsidRPr="0029420D">
        <w:rPr>
          <w:rFonts w:ascii="Expert Sans Regular" w:hAnsi="Expert Sans Regular"/>
          <w:sz w:val="21"/>
          <w:szCs w:val="21"/>
        </w:rPr>
        <w:t>reinforce</w:t>
      </w:r>
      <w:r w:rsidRPr="0029420D">
        <w:rPr>
          <w:rFonts w:ascii="Expert Sans Regular" w:hAnsi="Expert Sans Regular"/>
          <w:sz w:val="21"/>
          <w:szCs w:val="21"/>
        </w:rPr>
        <w:t xml:space="preserve"> the importance of providing support for people whilst they are in work</w:t>
      </w:r>
      <w:r w:rsidR="0029420D">
        <w:rPr>
          <w:rFonts w:ascii="Expert Sans Regular" w:hAnsi="Expert Sans Regular"/>
          <w:sz w:val="21"/>
          <w:szCs w:val="21"/>
        </w:rPr>
        <w:t xml:space="preserve"> and responding to both long-term health conditions and disabilities as well as short-term conditions</w:t>
      </w:r>
      <w:r w:rsidR="00DA7241">
        <w:rPr>
          <w:rFonts w:ascii="Expert Sans Regular" w:hAnsi="Expert Sans Regular"/>
          <w:sz w:val="21"/>
          <w:szCs w:val="21"/>
        </w:rPr>
        <w:t xml:space="preserve"> with a broad approach to implementing a business-wide wellbeing strategy</w:t>
      </w:r>
      <w:r w:rsidR="0029420D">
        <w:rPr>
          <w:rFonts w:ascii="Expert Sans Regular" w:hAnsi="Expert Sans Regular"/>
          <w:sz w:val="21"/>
          <w:szCs w:val="21"/>
        </w:rPr>
        <w:t>.</w:t>
      </w:r>
      <w:r w:rsidR="00F836F5">
        <w:rPr>
          <w:rFonts w:ascii="Expert Sans Regular" w:hAnsi="Expert Sans Regular"/>
          <w:sz w:val="21"/>
          <w:szCs w:val="21"/>
        </w:rPr>
        <w:t xml:space="preserve"> </w:t>
      </w:r>
      <w:r w:rsidR="0029420D">
        <w:rPr>
          <w:rFonts w:ascii="Expert Sans Regular" w:hAnsi="Expert Sans Regular"/>
          <w:sz w:val="21"/>
          <w:szCs w:val="21"/>
        </w:rPr>
        <w:t>We recommend taking a</w:t>
      </w:r>
      <w:r w:rsidR="00F429CB">
        <w:rPr>
          <w:rFonts w:ascii="Expert Sans Regular" w:hAnsi="Expert Sans Regular"/>
          <w:sz w:val="21"/>
          <w:szCs w:val="21"/>
        </w:rPr>
        <w:t>n</w:t>
      </w:r>
      <w:r w:rsidR="0029420D">
        <w:rPr>
          <w:rFonts w:ascii="Expert Sans Regular" w:hAnsi="Expert Sans Regular"/>
          <w:sz w:val="21"/>
          <w:szCs w:val="21"/>
        </w:rPr>
        <w:t xml:space="preserve"> inclusive approach to workplace adjustments</w:t>
      </w:r>
      <w:r w:rsidR="00F429CB" w:rsidRPr="00F429CB">
        <w:rPr>
          <w:rFonts w:ascii="Expert Sans Regular" w:hAnsi="Expert Sans Regular"/>
          <w:sz w:val="21"/>
          <w:szCs w:val="21"/>
        </w:rPr>
        <w:t xml:space="preserve"> </w:t>
      </w:r>
      <w:r w:rsidR="00F429CB">
        <w:rPr>
          <w:rFonts w:ascii="Expert Sans Regular" w:hAnsi="Expert Sans Regular"/>
          <w:sz w:val="21"/>
          <w:szCs w:val="21"/>
        </w:rPr>
        <w:t xml:space="preserve">and a centralised budget so that adjustments </w:t>
      </w:r>
      <w:r w:rsidR="001A54D3">
        <w:rPr>
          <w:rFonts w:ascii="Expert Sans Regular" w:hAnsi="Expert Sans Regular"/>
          <w:sz w:val="21"/>
          <w:szCs w:val="21"/>
        </w:rPr>
        <w:t>are open to all and there is a consistent response.</w:t>
      </w:r>
      <w:r w:rsidR="00EA4D59">
        <w:rPr>
          <w:rFonts w:ascii="Expert Sans Regular" w:hAnsi="Expert Sans Regular"/>
          <w:sz w:val="21"/>
          <w:szCs w:val="21"/>
        </w:rPr>
        <w:t xml:space="preserve"> Ensuring that there is an approach to offering flexible working also opens up opportun</w:t>
      </w:r>
      <w:r w:rsidR="009335DA">
        <w:rPr>
          <w:rFonts w:ascii="Expert Sans Regular" w:hAnsi="Expert Sans Regular"/>
          <w:sz w:val="21"/>
          <w:szCs w:val="21"/>
        </w:rPr>
        <w:t>i</w:t>
      </w:r>
      <w:r w:rsidR="00EA4D59">
        <w:rPr>
          <w:rFonts w:ascii="Expert Sans Regular" w:hAnsi="Expert Sans Regular"/>
          <w:sz w:val="21"/>
          <w:szCs w:val="21"/>
        </w:rPr>
        <w:t>ties for people with disabilities and health conditions. At Barclays, our Dynamic Working campaign is designed to ensure eve</w:t>
      </w:r>
      <w:r w:rsidR="009335DA">
        <w:rPr>
          <w:rFonts w:ascii="Expert Sans Regular" w:hAnsi="Expert Sans Regular"/>
          <w:sz w:val="21"/>
          <w:szCs w:val="21"/>
        </w:rPr>
        <w:t xml:space="preserve">ry potential </w:t>
      </w:r>
      <w:r w:rsidR="00855EC0">
        <w:rPr>
          <w:rFonts w:ascii="Expert Sans Regular" w:hAnsi="Expert Sans Regular"/>
          <w:sz w:val="21"/>
          <w:szCs w:val="21"/>
        </w:rPr>
        <w:t xml:space="preserve">and existing </w:t>
      </w:r>
      <w:r w:rsidR="009335DA">
        <w:rPr>
          <w:rFonts w:ascii="Expert Sans Regular" w:hAnsi="Expert Sans Regular"/>
          <w:sz w:val="21"/>
          <w:szCs w:val="21"/>
        </w:rPr>
        <w:t xml:space="preserve">employee </w:t>
      </w:r>
      <w:r w:rsidR="00EA4D59">
        <w:rPr>
          <w:rFonts w:ascii="Expert Sans Regular" w:hAnsi="Expert Sans Regular"/>
          <w:sz w:val="21"/>
          <w:szCs w:val="21"/>
        </w:rPr>
        <w:t>h</w:t>
      </w:r>
      <w:r w:rsidR="009335DA">
        <w:rPr>
          <w:rFonts w:ascii="Expert Sans Regular" w:hAnsi="Expert Sans Regular"/>
          <w:sz w:val="21"/>
          <w:szCs w:val="21"/>
        </w:rPr>
        <w:t>a</w:t>
      </w:r>
      <w:r w:rsidR="00EA4D59">
        <w:rPr>
          <w:rFonts w:ascii="Expert Sans Regular" w:hAnsi="Expert Sans Regular"/>
          <w:sz w:val="21"/>
          <w:szCs w:val="21"/>
        </w:rPr>
        <w:t xml:space="preserve">s the same opportunities at work: </w:t>
      </w:r>
      <w:hyperlink r:id="rId14" w:history="1">
        <w:r w:rsidR="00EA4D59" w:rsidRPr="002D723A">
          <w:rPr>
            <w:rStyle w:val="Hyperlink"/>
            <w:rFonts w:ascii="Expert Sans Regular" w:hAnsi="Expert Sans Regular"/>
            <w:sz w:val="21"/>
            <w:szCs w:val="21"/>
          </w:rPr>
          <w:t>https://jobs.barclays.co.uk/working-here/dynamic-working/</w:t>
        </w:r>
      </w:hyperlink>
    </w:p>
    <w:p w14:paraId="40C84D6E" w14:textId="77777777" w:rsidR="0029420D" w:rsidRPr="009335DA" w:rsidRDefault="0029420D" w:rsidP="0029420D">
      <w:pPr>
        <w:spacing w:after="0"/>
        <w:rPr>
          <w:rFonts w:ascii="Expert Sans Regular" w:hAnsi="Expert Sans Regular"/>
          <w:b/>
          <w:szCs w:val="21"/>
        </w:rPr>
      </w:pPr>
      <w:r w:rsidRPr="009335DA">
        <w:rPr>
          <w:rFonts w:ascii="Expert Sans Regular" w:hAnsi="Expert Sans Regular"/>
          <w:b/>
          <w:szCs w:val="21"/>
        </w:rPr>
        <w:t>Creating an inclusive workforce:</w:t>
      </w:r>
    </w:p>
    <w:p w14:paraId="40C84D6F" w14:textId="77777777" w:rsidR="00811478" w:rsidRPr="008A7F92" w:rsidRDefault="00811478">
      <w:pPr>
        <w:rPr>
          <w:rFonts w:ascii="Expert Sans Regular" w:hAnsi="Expert Sans Regular"/>
          <w:sz w:val="21"/>
          <w:szCs w:val="21"/>
        </w:rPr>
      </w:pPr>
      <w:r w:rsidRPr="008A7F92">
        <w:rPr>
          <w:rFonts w:ascii="Expert Sans Regular" w:hAnsi="Expert Sans Regular"/>
          <w:sz w:val="21"/>
          <w:szCs w:val="21"/>
        </w:rPr>
        <w:t>It’s important to encourage people to disclose their disability or health condition both when applying for work and whilst in work</w:t>
      </w:r>
      <w:r w:rsidR="00EB5E16">
        <w:rPr>
          <w:rFonts w:ascii="Expert Sans Regular" w:hAnsi="Expert Sans Regular"/>
          <w:sz w:val="21"/>
          <w:szCs w:val="21"/>
        </w:rPr>
        <w:t>.</w:t>
      </w:r>
      <w:r w:rsidR="0029420D">
        <w:rPr>
          <w:rFonts w:ascii="Expert Sans Regular" w:hAnsi="Expert Sans Regular"/>
          <w:sz w:val="21"/>
          <w:szCs w:val="21"/>
        </w:rPr>
        <w:t xml:space="preserve"> However, we do not feel disclosure should be mandated, but rather business adopts a more inclusive culture</w:t>
      </w:r>
      <w:r w:rsidR="00F836F5">
        <w:rPr>
          <w:rFonts w:ascii="Expert Sans Regular" w:hAnsi="Expert Sans Regular"/>
          <w:sz w:val="21"/>
          <w:szCs w:val="21"/>
        </w:rPr>
        <w:t xml:space="preserve"> that encourages voluntary disclosure</w:t>
      </w:r>
      <w:r w:rsidR="0029420D">
        <w:rPr>
          <w:rFonts w:ascii="Expert Sans Regular" w:hAnsi="Expert Sans Regular"/>
          <w:sz w:val="21"/>
          <w:szCs w:val="21"/>
        </w:rPr>
        <w:t>.</w:t>
      </w:r>
      <w:r w:rsidRPr="008A7F92">
        <w:rPr>
          <w:rFonts w:ascii="Expert Sans Regular" w:hAnsi="Expert Sans Regular"/>
          <w:sz w:val="21"/>
          <w:szCs w:val="21"/>
        </w:rPr>
        <w:t xml:space="preserve"> To do this, there needs to be a more positive attitude towards recruiting people with disabilities as we know people fear they will not be considered for employment if they do.</w:t>
      </w:r>
      <w:r w:rsidR="00EA4D59">
        <w:rPr>
          <w:rFonts w:ascii="Expert Sans Regular" w:hAnsi="Expert Sans Regular"/>
          <w:sz w:val="21"/>
          <w:szCs w:val="21"/>
        </w:rPr>
        <w:t xml:space="preserve"> </w:t>
      </w:r>
    </w:p>
    <w:p w14:paraId="40C84D70" w14:textId="77777777" w:rsidR="00811478" w:rsidRPr="009335DA" w:rsidRDefault="00811478" w:rsidP="009335DA">
      <w:pPr>
        <w:rPr>
          <w:rFonts w:ascii="Expert Sans Regular" w:hAnsi="Expert Sans Regular"/>
          <w:b/>
          <w:szCs w:val="21"/>
        </w:rPr>
      </w:pPr>
      <w:r w:rsidRPr="009335DA">
        <w:rPr>
          <w:rFonts w:ascii="Expert Sans Regular" w:hAnsi="Expert Sans Regular"/>
          <w:b/>
          <w:szCs w:val="21"/>
        </w:rPr>
        <w:t>Improving knowledge/ awareness</w:t>
      </w:r>
      <w:r w:rsidR="00394E9D" w:rsidRPr="009335DA">
        <w:rPr>
          <w:rFonts w:ascii="Expert Sans Regular" w:hAnsi="Expert Sans Regular"/>
          <w:b/>
          <w:szCs w:val="21"/>
        </w:rPr>
        <w:t>:</w:t>
      </w:r>
    </w:p>
    <w:p w14:paraId="40C84D71" w14:textId="77777777" w:rsidR="00811478" w:rsidRPr="008A7F92" w:rsidRDefault="00F836F5">
      <w:pPr>
        <w:rPr>
          <w:rFonts w:ascii="Expert Sans Regular" w:hAnsi="Expert Sans Regular"/>
          <w:sz w:val="21"/>
          <w:szCs w:val="21"/>
        </w:rPr>
      </w:pPr>
      <w:r>
        <w:rPr>
          <w:rFonts w:ascii="Expert Sans Regular" w:hAnsi="Expert Sans Regular"/>
          <w:sz w:val="21"/>
          <w:szCs w:val="21"/>
        </w:rPr>
        <w:t>We fully support a</w:t>
      </w:r>
      <w:r w:rsidR="00A30985" w:rsidRPr="008A7F92">
        <w:rPr>
          <w:rFonts w:ascii="Expert Sans Regular" w:hAnsi="Expert Sans Regular"/>
          <w:sz w:val="21"/>
          <w:szCs w:val="21"/>
        </w:rPr>
        <w:t xml:space="preserve">n awareness campaign </w:t>
      </w:r>
      <w:r w:rsidR="006D7B2B">
        <w:rPr>
          <w:rFonts w:ascii="Expert Sans Regular" w:hAnsi="Expert Sans Regular"/>
          <w:sz w:val="21"/>
          <w:szCs w:val="21"/>
        </w:rPr>
        <w:t xml:space="preserve">to challenge misconceptions about employing people with disabilities. It </w:t>
      </w:r>
      <w:r w:rsidR="00A30985" w:rsidRPr="008A7F92">
        <w:rPr>
          <w:rFonts w:ascii="Expert Sans Regular" w:hAnsi="Expert Sans Regular"/>
          <w:sz w:val="21"/>
          <w:szCs w:val="21"/>
        </w:rPr>
        <w:t>should leverage case studies of people with a wide range of abilities to help build the confidence of others who are seeking employment.</w:t>
      </w:r>
    </w:p>
    <w:p w14:paraId="40C84D72" w14:textId="77777777" w:rsidR="00F3096F" w:rsidRPr="008A7F92" w:rsidRDefault="00F836F5">
      <w:pPr>
        <w:rPr>
          <w:rFonts w:ascii="Expert Sans Regular" w:hAnsi="Expert Sans Regular"/>
          <w:sz w:val="21"/>
          <w:szCs w:val="21"/>
        </w:rPr>
      </w:pPr>
      <w:r>
        <w:rPr>
          <w:rFonts w:ascii="Expert Sans Regular" w:hAnsi="Expert Sans Regular"/>
          <w:sz w:val="21"/>
          <w:szCs w:val="21"/>
        </w:rPr>
        <w:t>I</w:t>
      </w:r>
      <w:r w:rsidRPr="008A7F92">
        <w:rPr>
          <w:rFonts w:ascii="Expert Sans Regular" w:hAnsi="Expert Sans Regular"/>
          <w:sz w:val="21"/>
          <w:szCs w:val="21"/>
        </w:rPr>
        <w:t>n Barclays</w:t>
      </w:r>
      <w:r>
        <w:rPr>
          <w:rFonts w:ascii="Expert Sans Regular" w:hAnsi="Expert Sans Regular"/>
          <w:sz w:val="21"/>
          <w:szCs w:val="21"/>
        </w:rPr>
        <w:t>, our campaign</w:t>
      </w:r>
      <w:r w:rsidRPr="008A7F92">
        <w:rPr>
          <w:rFonts w:ascii="Expert Sans Regular" w:hAnsi="Expert Sans Regular"/>
          <w:sz w:val="21"/>
          <w:szCs w:val="21"/>
        </w:rPr>
        <w:t xml:space="preserve"> </w:t>
      </w:r>
      <w:r w:rsidR="00D32E93">
        <w:rPr>
          <w:rFonts w:ascii="Expert Sans Regular" w:hAnsi="Expert Sans Regular"/>
          <w:sz w:val="21"/>
          <w:szCs w:val="21"/>
        </w:rPr>
        <w:t>‘</w:t>
      </w:r>
      <w:r w:rsidR="00F3096F" w:rsidRPr="008A7F92">
        <w:rPr>
          <w:rFonts w:ascii="Expert Sans Regular" w:hAnsi="Expert Sans Regular"/>
          <w:sz w:val="21"/>
          <w:szCs w:val="21"/>
        </w:rPr>
        <w:t>This is Me</w:t>
      </w:r>
      <w:r w:rsidR="00D32E93">
        <w:rPr>
          <w:rFonts w:ascii="Expert Sans Regular" w:hAnsi="Expert Sans Regular"/>
          <w:sz w:val="21"/>
          <w:szCs w:val="21"/>
        </w:rPr>
        <w:t>’</w:t>
      </w:r>
      <w:r w:rsidR="00F3096F" w:rsidRPr="008A7F92">
        <w:rPr>
          <w:rFonts w:ascii="Expert Sans Regular" w:hAnsi="Expert Sans Regular"/>
          <w:sz w:val="21"/>
          <w:szCs w:val="21"/>
        </w:rPr>
        <w:t xml:space="preserve"> has played this role and supported people by breaking down barriers and challenging stigma around mental health at work. It has helped build the confidence of those who have told their story and encouraged disclosure – </w:t>
      </w:r>
      <w:r w:rsidR="00227F11">
        <w:rPr>
          <w:rFonts w:ascii="Expert Sans Regular" w:hAnsi="Expert Sans Regular"/>
          <w:sz w:val="21"/>
          <w:szCs w:val="21"/>
        </w:rPr>
        <w:t>Barclays saw an increase in self-identification from 3% to 7%</w:t>
      </w:r>
      <w:r w:rsidR="00D32E93">
        <w:rPr>
          <w:rFonts w:ascii="Expert Sans Regular" w:hAnsi="Expert Sans Regular"/>
          <w:sz w:val="21"/>
          <w:szCs w:val="21"/>
        </w:rPr>
        <w:t xml:space="preserve"> over two years.</w:t>
      </w:r>
      <w:r w:rsidR="00BF646B">
        <w:rPr>
          <w:rFonts w:ascii="Expert Sans Regular" w:hAnsi="Expert Sans Regular"/>
          <w:sz w:val="21"/>
          <w:szCs w:val="21"/>
        </w:rPr>
        <w:t xml:space="preserve"> Persona</w:t>
      </w:r>
      <w:r w:rsidR="00476FA5">
        <w:rPr>
          <w:rFonts w:ascii="Expert Sans Regular" w:hAnsi="Expert Sans Regular"/>
          <w:sz w:val="21"/>
          <w:szCs w:val="21"/>
        </w:rPr>
        <w:t>l films from those with a disability or health condition, sharing their story are a pillar of the campaign. These resources are widely available through channels like YouTube and are therefore open-source for the Government to use as examples of best practice.</w:t>
      </w:r>
    </w:p>
    <w:p w14:paraId="40C84D73" w14:textId="77777777" w:rsidR="00F3096F" w:rsidRPr="008A7F92" w:rsidRDefault="00F3096F">
      <w:pPr>
        <w:rPr>
          <w:rFonts w:ascii="Expert Sans Regular" w:hAnsi="Expert Sans Regular"/>
          <w:sz w:val="21"/>
          <w:szCs w:val="21"/>
        </w:rPr>
      </w:pPr>
      <w:r w:rsidRPr="008A7F92">
        <w:rPr>
          <w:rFonts w:ascii="Expert Sans Regular" w:hAnsi="Expert Sans Regular"/>
          <w:sz w:val="21"/>
          <w:szCs w:val="21"/>
        </w:rPr>
        <w:t>It has helped to embed a culture of wellbeing and has supported the retention of colleagues with disabilities as they feel they can be honest and open. In parallel to an awareness campaign</w:t>
      </w:r>
      <w:r w:rsidR="00D32E93">
        <w:rPr>
          <w:rFonts w:ascii="Expert Sans Regular" w:hAnsi="Expert Sans Regular"/>
          <w:sz w:val="21"/>
          <w:szCs w:val="21"/>
        </w:rPr>
        <w:t>,</w:t>
      </w:r>
      <w:r w:rsidRPr="008A7F92">
        <w:rPr>
          <w:rFonts w:ascii="Expert Sans Regular" w:hAnsi="Expert Sans Regular"/>
          <w:sz w:val="21"/>
          <w:szCs w:val="21"/>
        </w:rPr>
        <w:t xml:space="preserve"> it’s important to ensure other support is in place. </w:t>
      </w:r>
      <w:r w:rsidR="00D32E93">
        <w:rPr>
          <w:rFonts w:ascii="Expert Sans Regular" w:hAnsi="Expert Sans Regular"/>
          <w:sz w:val="21"/>
          <w:szCs w:val="21"/>
        </w:rPr>
        <w:t>Barclays has partnered ‘This is M</w:t>
      </w:r>
      <w:r w:rsidRPr="008A7F92">
        <w:rPr>
          <w:rFonts w:ascii="Expert Sans Regular" w:hAnsi="Expert Sans Regular"/>
          <w:sz w:val="21"/>
          <w:szCs w:val="21"/>
        </w:rPr>
        <w:t>e</w:t>
      </w:r>
      <w:r w:rsidR="00D32E93">
        <w:rPr>
          <w:rFonts w:ascii="Expert Sans Regular" w:hAnsi="Expert Sans Regular"/>
          <w:sz w:val="21"/>
          <w:szCs w:val="21"/>
        </w:rPr>
        <w:t>’</w:t>
      </w:r>
      <w:r w:rsidRPr="008A7F92">
        <w:rPr>
          <w:rFonts w:ascii="Expert Sans Regular" w:hAnsi="Expert Sans Regular"/>
          <w:sz w:val="21"/>
          <w:szCs w:val="21"/>
        </w:rPr>
        <w:t xml:space="preserve"> with line manager training – a </w:t>
      </w:r>
      <w:r w:rsidR="006D7B2B">
        <w:rPr>
          <w:rFonts w:ascii="Expert Sans Regular" w:hAnsi="Expert Sans Regular"/>
          <w:sz w:val="21"/>
          <w:szCs w:val="21"/>
        </w:rPr>
        <w:t>‘B</w:t>
      </w:r>
      <w:r w:rsidRPr="008A7F92">
        <w:rPr>
          <w:rFonts w:ascii="Expert Sans Regular" w:hAnsi="Expert Sans Regular"/>
          <w:sz w:val="21"/>
          <w:szCs w:val="21"/>
        </w:rPr>
        <w:t>ecoming Disability Confident</w:t>
      </w:r>
      <w:r w:rsidR="006D7B2B">
        <w:rPr>
          <w:rFonts w:ascii="Expert Sans Regular" w:hAnsi="Expert Sans Regular"/>
          <w:sz w:val="21"/>
          <w:szCs w:val="21"/>
        </w:rPr>
        <w:t>’</w:t>
      </w:r>
      <w:r w:rsidRPr="008A7F92">
        <w:rPr>
          <w:rFonts w:ascii="Expert Sans Regular" w:hAnsi="Expert Sans Regular"/>
          <w:sz w:val="21"/>
          <w:szCs w:val="21"/>
        </w:rPr>
        <w:t xml:space="preserve"> online module, and also a robust process for workplace adjustments including the development of a </w:t>
      </w:r>
      <w:r w:rsidR="00F836F5">
        <w:rPr>
          <w:rFonts w:ascii="Expert Sans Regular" w:hAnsi="Expert Sans Regular"/>
          <w:sz w:val="21"/>
          <w:szCs w:val="21"/>
        </w:rPr>
        <w:t>W</w:t>
      </w:r>
      <w:r w:rsidRPr="008A7F92">
        <w:rPr>
          <w:rFonts w:ascii="Expert Sans Regular" w:hAnsi="Expert Sans Regular"/>
          <w:sz w:val="21"/>
          <w:szCs w:val="21"/>
        </w:rPr>
        <w:t xml:space="preserve">orkplace </w:t>
      </w:r>
      <w:r w:rsidR="00F836F5">
        <w:rPr>
          <w:rFonts w:ascii="Expert Sans Regular" w:hAnsi="Expert Sans Regular"/>
          <w:sz w:val="21"/>
          <w:szCs w:val="21"/>
        </w:rPr>
        <w:t>A</w:t>
      </w:r>
      <w:r w:rsidRPr="008A7F92">
        <w:rPr>
          <w:rFonts w:ascii="Expert Sans Regular" w:hAnsi="Expert Sans Regular"/>
          <w:sz w:val="21"/>
          <w:szCs w:val="21"/>
        </w:rPr>
        <w:t xml:space="preserve">djustment </w:t>
      </w:r>
      <w:r w:rsidR="00F836F5">
        <w:rPr>
          <w:rFonts w:ascii="Expert Sans Regular" w:hAnsi="Expert Sans Regular"/>
          <w:sz w:val="21"/>
          <w:szCs w:val="21"/>
        </w:rPr>
        <w:t>P</w:t>
      </w:r>
      <w:r w:rsidRPr="008A7F92">
        <w:rPr>
          <w:rFonts w:ascii="Expert Sans Regular" w:hAnsi="Expert Sans Regular"/>
          <w:sz w:val="21"/>
          <w:szCs w:val="21"/>
        </w:rPr>
        <w:t>assport</w:t>
      </w:r>
      <w:r w:rsidR="00F836F5">
        <w:rPr>
          <w:rFonts w:ascii="Expert Sans Regular" w:hAnsi="Expert Sans Regular"/>
          <w:sz w:val="21"/>
          <w:szCs w:val="21"/>
        </w:rPr>
        <w:t xml:space="preserve">, which enables colleagues </w:t>
      </w:r>
      <w:r w:rsidRPr="008A7F92">
        <w:rPr>
          <w:rFonts w:ascii="Expert Sans Regular" w:hAnsi="Expert Sans Regular"/>
          <w:sz w:val="21"/>
          <w:szCs w:val="21"/>
        </w:rPr>
        <w:t>with disabilities</w:t>
      </w:r>
      <w:r w:rsidR="00F836F5">
        <w:rPr>
          <w:rFonts w:ascii="Expert Sans Regular" w:hAnsi="Expert Sans Regular"/>
          <w:sz w:val="21"/>
          <w:szCs w:val="21"/>
        </w:rPr>
        <w:t xml:space="preserve"> or health conditions, and the adjustments they need, and take this with them</w:t>
      </w:r>
      <w:r w:rsidRPr="008A7F92">
        <w:rPr>
          <w:rFonts w:ascii="Expert Sans Regular" w:hAnsi="Expert Sans Regular"/>
          <w:sz w:val="21"/>
          <w:szCs w:val="21"/>
        </w:rPr>
        <w:t xml:space="preserve"> as they move through the organisation</w:t>
      </w:r>
      <w:r w:rsidR="00F836F5">
        <w:rPr>
          <w:rFonts w:ascii="Expert Sans Regular" w:hAnsi="Expert Sans Regular"/>
          <w:sz w:val="21"/>
          <w:szCs w:val="21"/>
        </w:rPr>
        <w:t>.</w:t>
      </w:r>
      <w:r w:rsidR="0019537A">
        <w:rPr>
          <w:rFonts w:ascii="Expert Sans Regular" w:hAnsi="Expert Sans Regular"/>
          <w:sz w:val="21"/>
          <w:szCs w:val="21"/>
        </w:rPr>
        <w:t xml:space="preserve"> We have also mainstreamed workplace adjustments, moving away from reasonable adjustments as a legal obligation only for colleagues with disabilities. This is </w:t>
      </w:r>
      <w:r w:rsidR="00451FD8">
        <w:rPr>
          <w:rFonts w:ascii="Expert Sans Regular" w:hAnsi="Expert Sans Regular"/>
          <w:sz w:val="21"/>
          <w:szCs w:val="21"/>
        </w:rPr>
        <w:t xml:space="preserve">both a more inclusive approach and </w:t>
      </w:r>
      <w:r w:rsidR="0019537A">
        <w:rPr>
          <w:rFonts w:ascii="Expert Sans Regular" w:hAnsi="Expert Sans Regular"/>
          <w:sz w:val="21"/>
          <w:szCs w:val="21"/>
        </w:rPr>
        <w:t>makes good business sense</w:t>
      </w:r>
      <w:r w:rsidR="00451FD8">
        <w:rPr>
          <w:rFonts w:ascii="Expert Sans Regular" w:hAnsi="Expert Sans Regular"/>
          <w:sz w:val="21"/>
          <w:szCs w:val="21"/>
        </w:rPr>
        <w:t>. I</w:t>
      </w:r>
      <w:r w:rsidR="0019537A">
        <w:rPr>
          <w:rFonts w:ascii="Expert Sans Regular" w:hAnsi="Expert Sans Regular"/>
          <w:sz w:val="21"/>
          <w:szCs w:val="21"/>
        </w:rPr>
        <w:t xml:space="preserve">t enables </w:t>
      </w:r>
      <w:r w:rsidR="00451FD8">
        <w:rPr>
          <w:rFonts w:ascii="Expert Sans Regular" w:hAnsi="Expert Sans Regular"/>
          <w:sz w:val="21"/>
          <w:szCs w:val="21"/>
        </w:rPr>
        <w:t>all colleagues to perform at their best, and provides support to those returning to work from periods of absence with the adjustments they need whether they are covered by the Act or not.</w:t>
      </w:r>
    </w:p>
    <w:p w14:paraId="40C84D74" w14:textId="77777777" w:rsidR="007F6B87" w:rsidRDefault="00F836F5" w:rsidP="007F6B87">
      <w:pPr>
        <w:rPr>
          <w:rFonts w:ascii="Expert Sans Regular" w:hAnsi="Expert Sans Regular"/>
          <w:sz w:val="21"/>
          <w:szCs w:val="21"/>
        </w:rPr>
      </w:pPr>
      <w:r>
        <w:rPr>
          <w:rFonts w:ascii="Expert Sans Regular" w:hAnsi="Expert Sans Regular"/>
          <w:sz w:val="21"/>
          <w:szCs w:val="21"/>
        </w:rPr>
        <w:t xml:space="preserve">We recommend that </w:t>
      </w:r>
      <w:r w:rsidR="00F3096F" w:rsidRPr="008A7F92">
        <w:rPr>
          <w:rFonts w:ascii="Expert Sans Regular" w:hAnsi="Expert Sans Regular"/>
          <w:sz w:val="21"/>
          <w:szCs w:val="21"/>
        </w:rPr>
        <w:t>Government-led campaigns need to mainstream the issue of disability, e</w:t>
      </w:r>
      <w:r w:rsidR="00BF646B">
        <w:rPr>
          <w:rFonts w:ascii="Expert Sans Regular" w:hAnsi="Expert Sans Regular"/>
          <w:sz w:val="21"/>
          <w:szCs w:val="21"/>
        </w:rPr>
        <w:t>.</w:t>
      </w:r>
      <w:r w:rsidR="00F3096F" w:rsidRPr="008A7F92">
        <w:rPr>
          <w:rFonts w:ascii="Expert Sans Regular" w:hAnsi="Expert Sans Regular"/>
          <w:sz w:val="21"/>
          <w:szCs w:val="21"/>
        </w:rPr>
        <w:t>g</w:t>
      </w:r>
      <w:r w:rsidR="00BF646B">
        <w:rPr>
          <w:rFonts w:ascii="Expert Sans Regular" w:hAnsi="Expert Sans Regular"/>
          <w:sz w:val="21"/>
          <w:szCs w:val="21"/>
        </w:rPr>
        <w:t>.</w:t>
      </w:r>
      <w:r w:rsidR="00F3096F" w:rsidRPr="008A7F92">
        <w:rPr>
          <w:rFonts w:ascii="Expert Sans Regular" w:hAnsi="Expert Sans Regular"/>
          <w:sz w:val="21"/>
          <w:szCs w:val="21"/>
        </w:rPr>
        <w:t xml:space="preserve"> the ‘Get In Go Far’ </w:t>
      </w:r>
      <w:r w:rsidR="00D32E93">
        <w:rPr>
          <w:rFonts w:ascii="Expert Sans Regular" w:hAnsi="Expert Sans Regular"/>
          <w:sz w:val="21"/>
          <w:szCs w:val="21"/>
        </w:rPr>
        <w:t xml:space="preserve">ad </w:t>
      </w:r>
      <w:r w:rsidR="00F3096F" w:rsidRPr="008A7F92">
        <w:rPr>
          <w:rFonts w:ascii="Expert Sans Regular" w:hAnsi="Expert Sans Regular"/>
          <w:sz w:val="21"/>
          <w:szCs w:val="21"/>
        </w:rPr>
        <w:t>campaign for apprenticeships should feature a candidate with a disability</w:t>
      </w:r>
      <w:r w:rsidR="007F6B87">
        <w:rPr>
          <w:rFonts w:ascii="Expert Sans Regular" w:hAnsi="Expert Sans Regular"/>
          <w:sz w:val="21"/>
          <w:szCs w:val="21"/>
        </w:rPr>
        <w:t xml:space="preserve"> and </w:t>
      </w:r>
      <w:r w:rsidR="007F6B87">
        <w:rPr>
          <w:rFonts w:ascii="Expert Sans Regular" w:hAnsi="Expert Sans Regular"/>
          <w:sz w:val="21"/>
          <w:szCs w:val="21"/>
        </w:rPr>
        <w:lastRenderedPageBreak/>
        <w:t>exemplify the positive impact employers can have in recruiting a diverse workforce</w:t>
      </w:r>
      <w:r w:rsidR="00BF646B">
        <w:rPr>
          <w:rFonts w:ascii="Expert Sans Regular" w:hAnsi="Expert Sans Regular"/>
          <w:sz w:val="21"/>
          <w:szCs w:val="21"/>
        </w:rPr>
        <w:t>. Showing ‘real’ stories reinforces authenticity and a genuine commitment to a diverse workforce.</w:t>
      </w:r>
    </w:p>
    <w:p w14:paraId="40C84D75" w14:textId="77777777" w:rsidR="00775B72" w:rsidRDefault="00D32E93">
      <w:pPr>
        <w:rPr>
          <w:rFonts w:ascii="Expert Sans Regular" w:hAnsi="Expert Sans Regular"/>
          <w:sz w:val="21"/>
          <w:szCs w:val="21"/>
        </w:rPr>
      </w:pPr>
      <w:r>
        <w:rPr>
          <w:rFonts w:ascii="Expert Sans Regular" w:hAnsi="Expert Sans Regular"/>
          <w:sz w:val="21"/>
          <w:szCs w:val="21"/>
        </w:rPr>
        <w:t>‘This is M</w:t>
      </w:r>
      <w:r w:rsidR="00775B72" w:rsidRPr="008A7F92">
        <w:rPr>
          <w:rFonts w:ascii="Expert Sans Regular" w:hAnsi="Expert Sans Regular"/>
          <w:sz w:val="21"/>
          <w:szCs w:val="21"/>
        </w:rPr>
        <w:t>e</w:t>
      </w:r>
      <w:r>
        <w:rPr>
          <w:rFonts w:ascii="Expert Sans Regular" w:hAnsi="Expert Sans Regular"/>
          <w:sz w:val="21"/>
          <w:szCs w:val="21"/>
        </w:rPr>
        <w:t>’</w:t>
      </w:r>
      <w:r w:rsidR="00775B72" w:rsidRPr="008A7F92">
        <w:rPr>
          <w:rFonts w:ascii="Expert Sans Regular" w:hAnsi="Expert Sans Regular"/>
          <w:sz w:val="21"/>
          <w:szCs w:val="21"/>
        </w:rPr>
        <w:t xml:space="preserve"> is an example of how </w:t>
      </w:r>
      <w:r w:rsidR="00D956AF">
        <w:rPr>
          <w:rFonts w:ascii="Expert Sans Regular" w:hAnsi="Expert Sans Regular"/>
          <w:sz w:val="21"/>
          <w:szCs w:val="21"/>
        </w:rPr>
        <w:t xml:space="preserve">a </w:t>
      </w:r>
      <w:r w:rsidR="00775B72" w:rsidRPr="008A7F92">
        <w:rPr>
          <w:rFonts w:ascii="Expert Sans Regular" w:hAnsi="Expert Sans Regular"/>
          <w:sz w:val="21"/>
          <w:szCs w:val="21"/>
        </w:rPr>
        <w:t>campaign can scale up cultural ch</w:t>
      </w:r>
      <w:r w:rsidR="00A426F9">
        <w:rPr>
          <w:rFonts w:ascii="Expert Sans Regular" w:hAnsi="Expert Sans Regular"/>
          <w:sz w:val="21"/>
          <w:szCs w:val="21"/>
        </w:rPr>
        <w:t>ange</w:t>
      </w:r>
      <w:r w:rsidR="00F836F5">
        <w:rPr>
          <w:rFonts w:ascii="Expert Sans Regular" w:hAnsi="Expert Sans Regular"/>
          <w:sz w:val="21"/>
          <w:szCs w:val="21"/>
        </w:rPr>
        <w:t xml:space="preserve"> to build an inclusive workforce</w:t>
      </w:r>
      <w:r w:rsidR="00A426F9">
        <w:rPr>
          <w:rFonts w:ascii="Expert Sans Regular" w:hAnsi="Expert Sans Regular"/>
          <w:sz w:val="21"/>
          <w:szCs w:val="21"/>
        </w:rPr>
        <w:t>. In</w:t>
      </w:r>
      <w:r>
        <w:rPr>
          <w:rFonts w:ascii="Expert Sans Regular" w:hAnsi="Expert Sans Regular"/>
          <w:sz w:val="21"/>
          <w:szCs w:val="21"/>
        </w:rPr>
        <w:t xml:space="preserve"> partnership with the Lord Mayor’s Appeal, ‘This is Me in the City</w:t>
      </w:r>
      <w:r w:rsidR="00A426F9">
        <w:rPr>
          <w:rFonts w:ascii="Expert Sans Regular" w:hAnsi="Expert Sans Regular"/>
          <w:sz w:val="21"/>
          <w:szCs w:val="21"/>
        </w:rPr>
        <w:t>’</w:t>
      </w:r>
      <w:r>
        <w:rPr>
          <w:rFonts w:ascii="Expert Sans Regular" w:hAnsi="Expert Sans Regular"/>
          <w:sz w:val="21"/>
          <w:szCs w:val="21"/>
        </w:rPr>
        <w:t xml:space="preserve"> has registered</w:t>
      </w:r>
      <w:r w:rsidR="00775B72" w:rsidRPr="008A7F92">
        <w:rPr>
          <w:rFonts w:ascii="Expert Sans Regular" w:hAnsi="Expert Sans Regular"/>
          <w:sz w:val="21"/>
          <w:szCs w:val="21"/>
        </w:rPr>
        <w:t xml:space="preserve"> 7</w:t>
      </w:r>
      <w:r w:rsidR="00D956AF">
        <w:rPr>
          <w:rFonts w:ascii="Expert Sans Regular" w:hAnsi="Expert Sans Regular"/>
          <w:sz w:val="21"/>
          <w:szCs w:val="21"/>
        </w:rPr>
        <w:t>6</w:t>
      </w:r>
      <w:r w:rsidR="00775B72" w:rsidRPr="008A7F92">
        <w:rPr>
          <w:rFonts w:ascii="Expert Sans Regular" w:hAnsi="Expert Sans Regular"/>
          <w:sz w:val="21"/>
          <w:szCs w:val="21"/>
        </w:rPr>
        <w:t xml:space="preserve"> organisations, </w:t>
      </w:r>
      <w:r w:rsidR="00F836F5">
        <w:rPr>
          <w:rFonts w:ascii="Expert Sans Regular" w:hAnsi="Expert Sans Regular"/>
          <w:sz w:val="21"/>
          <w:szCs w:val="21"/>
        </w:rPr>
        <w:t>with 22 direc</w:t>
      </w:r>
      <w:r w:rsidR="00D956AF">
        <w:rPr>
          <w:rFonts w:ascii="Expert Sans Regular" w:hAnsi="Expert Sans Regular"/>
          <w:sz w:val="21"/>
          <w:szCs w:val="21"/>
        </w:rPr>
        <w:t>t</w:t>
      </w:r>
      <w:r w:rsidR="00F836F5">
        <w:rPr>
          <w:rFonts w:ascii="Expert Sans Regular" w:hAnsi="Expert Sans Regular"/>
          <w:sz w:val="21"/>
          <w:szCs w:val="21"/>
        </w:rPr>
        <w:t>l</w:t>
      </w:r>
      <w:r w:rsidR="00D956AF">
        <w:rPr>
          <w:rFonts w:ascii="Expert Sans Regular" w:hAnsi="Expert Sans Regular"/>
          <w:sz w:val="21"/>
          <w:szCs w:val="21"/>
        </w:rPr>
        <w:t xml:space="preserve">y deploying </w:t>
      </w:r>
      <w:r w:rsidR="00F836F5">
        <w:rPr>
          <w:rFonts w:ascii="Expert Sans Regular" w:hAnsi="Expert Sans Regular"/>
          <w:sz w:val="21"/>
          <w:szCs w:val="21"/>
        </w:rPr>
        <w:t xml:space="preserve">campaign </w:t>
      </w:r>
      <w:r w:rsidR="00D956AF">
        <w:rPr>
          <w:rFonts w:ascii="Expert Sans Regular" w:hAnsi="Expert Sans Regular"/>
          <w:sz w:val="21"/>
          <w:szCs w:val="21"/>
        </w:rPr>
        <w:t xml:space="preserve">activities, </w:t>
      </w:r>
      <w:r>
        <w:rPr>
          <w:rFonts w:ascii="Expert Sans Regular" w:hAnsi="Expert Sans Regular"/>
          <w:sz w:val="21"/>
          <w:szCs w:val="21"/>
        </w:rPr>
        <w:t xml:space="preserve">representing </w:t>
      </w:r>
      <w:r w:rsidR="00775B72" w:rsidRPr="008A7F92">
        <w:rPr>
          <w:rFonts w:ascii="Expert Sans Regular" w:hAnsi="Expert Sans Regular"/>
          <w:sz w:val="21"/>
          <w:szCs w:val="21"/>
        </w:rPr>
        <w:t>over 400k employees</w:t>
      </w:r>
      <w:r>
        <w:rPr>
          <w:rFonts w:ascii="Expert Sans Regular" w:hAnsi="Expert Sans Regular"/>
          <w:sz w:val="21"/>
          <w:szCs w:val="21"/>
        </w:rPr>
        <w:t>. It plans to double its reach and impact in</w:t>
      </w:r>
      <w:r w:rsidR="00775B72" w:rsidRPr="008A7F92">
        <w:rPr>
          <w:rFonts w:ascii="Expert Sans Regular" w:hAnsi="Expert Sans Regular"/>
          <w:sz w:val="21"/>
          <w:szCs w:val="21"/>
        </w:rPr>
        <w:t xml:space="preserve"> 2017.</w:t>
      </w:r>
      <w:r w:rsidR="00F836F5">
        <w:rPr>
          <w:rFonts w:ascii="Expert Sans Regular" w:hAnsi="Expert Sans Regular"/>
          <w:sz w:val="21"/>
          <w:szCs w:val="21"/>
        </w:rPr>
        <w:t xml:space="preserve"> Given the resources and charity partnerships are already in place, we recommend that ‘This is Me’ be adopted as a national campaign to tackle the stigma of mental health in the workplace across the UK. Rather than developing an alternative campaign, ‘This is Me’ would fully support the PM’s drive to shift the dial around mental health in the workplace.</w:t>
      </w:r>
      <w:r w:rsidR="009335DA">
        <w:rPr>
          <w:rFonts w:ascii="Expert Sans Regular" w:hAnsi="Expert Sans Regular"/>
          <w:sz w:val="21"/>
          <w:szCs w:val="21"/>
        </w:rPr>
        <w:t xml:space="preserve"> </w:t>
      </w:r>
      <w:hyperlink r:id="rId15" w:history="1">
        <w:r w:rsidR="009335DA" w:rsidRPr="002D723A">
          <w:rPr>
            <w:rStyle w:val="Hyperlink"/>
            <w:rFonts w:ascii="Expert Sans Regular" w:hAnsi="Expert Sans Regular"/>
            <w:sz w:val="21"/>
            <w:szCs w:val="21"/>
          </w:rPr>
          <w:t>https://www.home.barclays/news/2016/11/this-is-me.html</w:t>
        </w:r>
      </w:hyperlink>
    </w:p>
    <w:p w14:paraId="40C84D76" w14:textId="77777777" w:rsidR="00775B72" w:rsidRPr="008A7F92" w:rsidRDefault="00775B72">
      <w:pPr>
        <w:rPr>
          <w:rFonts w:ascii="Expert Sans Regular" w:hAnsi="Expert Sans Regular"/>
          <w:sz w:val="21"/>
          <w:szCs w:val="21"/>
        </w:rPr>
      </w:pPr>
      <w:r w:rsidRPr="008A7F92">
        <w:rPr>
          <w:rFonts w:ascii="Expert Sans Regular" w:hAnsi="Expert Sans Regular"/>
          <w:sz w:val="21"/>
          <w:szCs w:val="21"/>
        </w:rPr>
        <w:t xml:space="preserve">Government need to consider that any external campaign </w:t>
      </w:r>
      <w:r w:rsidR="00D32E93">
        <w:rPr>
          <w:rFonts w:ascii="Expert Sans Regular" w:hAnsi="Expert Sans Regular"/>
          <w:sz w:val="21"/>
          <w:szCs w:val="21"/>
        </w:rPr>
        <w:t>should</w:t>
      </w:r>
      <w:r w:rsidRPr="008A7F92">
        <w:rPr>
          <w:rFonts w:ascii="Expert Sans Regular" w:hAnsi="Expert Sans Regular"/>
          <w:sz w:val="21"/>
          <w:szCs w:val="21"/>
        </w:rPr>
        <w:t xml:space="preserve"> be matched with access to appropriate jobs. People with disabilities seeking work as a result of heightened awareness need to be able to source those roles.</w:t>
      </w:r>
    </w:p>
    <w:p w14:paraId="40C84D77" w14:textId="77777777" w:rsidR="00A30985" w:rsidRPr="009335DA" w:rsidRDefault="00914565" w:rsidP="00EB5E16">
      <w:pPr>
        <w:spacing w:after="0"/>
        <w:rPr>
          <w:rFonts w:ascii="Expert Sans Regular" w:hAnsi="Expert Sans Regular"/>
          <w:b/>
          <w:szCs w:val="21"/>
        </w:rPr>
      </w:pPr>
      <w:r w:rsidRPr="009335DA">
        <w:rPr>
          <w:rFonts w:ascii="Expert Sans Regular" w:hAnsi="Expert Sans Regular"/>
          <w:b/>
          <w:szCs w:val="21"/>
        </w:rPr>
        <w:t>Promoting</w:t>
      </w:r>
      <w:r w:rsidR="00A30985" w:rsidRPr="009335DA">
        <w:rPr>
          <w:rFonts w:ascii="Expert Sans Regular" w:hAnsi="Expert Sans Regular"/>
          <w:b/>
          <w:szCs w:val="21"/>
        </w:rPr>
        <w:t xml:space="preserve"> employee networks</w:t>
      </w:r>
      <w:r w:rsidRPr="009335DA">
        <w:rPr>
          <w:rFonts w:ascii="Expert Sans Regular" w:hAnsi="Expert Sans Regular"/>
          <w:b/>
          <w:szCs w:val="21"/>
        </w:rPr>
        <w:t>:</w:t>
      </w:r>
    </w:p>
    <w:p w14:paraId="40C84D78" w14:textId="77777777" w:rsidR="0037269B" w:rsidRDefault="00A30985">
      <w:pPr>
        <w:rPr>
          <w:rFonts w:ascii="Expert Sans Regular" w:hAnsi="Expert Sans Regular"/>
          <w:sz w:val="21"/>
          <w:szCs w:val="21"/>
        </w:rPr>
      </w:pPr>
      <w:r w:rsidRPr="008A7F92">
        <w:rPr>
          <w:rFonts w:ascii="Expert Sans Regular" w:hAnsi="Expert Sans Regular"/>
          <w:sz w:val="21"/>
          <w:szCs w:val="21"/>
        </w:rPr>
        <w:t xml:space="preserve">Employee networks are increasing </w:t>
      </w:r>
      <w:r w:rsidR="00F836F5">
        <w:rPr>
          <w:rFonts w:ascii="Expert Sans Regular" w:hAnsi="Expert Sans Regular"/>
          <w:sz w:val="21"/>
          <w:szCs w:val="21"/>
        </w:rPr>
        <w:t xml:space="preserve">but </w:t>
      </w:r>
      <w:r w:rsidRPr="008A7F92">
        <w:rPr>
          <w:rFonts w:ascii="Expert Sans Regular" w:hAnsi="Expert Sans Regular"/>
          <w:sz w:val="21"/>
          <w:szCs w:val="21"/>
        </w:rPr>
        <w:t xml:space="preserve">more needs to be done to harness these groups to provide additional support </w:t>
      </w:r>
      <w:r w:rsidR="00914565" w:rsidRPr="008A7F92">
        <w:rPr>
          <w:rFonts w:ascii="Expert Sans Regular" w:hAnsi="Expert Sans Regular"/>
          <w:sz w:val="21"/>
          <w:szCs w:val="21"/>
        </w:rPr>
        <w:t>for</w:t>
      </w:r>
      <w:r w:rsidRPr="008A7F92">
        <w:rPr>
          <w:rFonts w:ascii="Expert Sans Regular" w:hAnsi="Expert Sans Regular"/>
          <w:sz w:val="21"/>
          <w:szCs w:val="21"/>
        </w:rPr>
        <w:t xml:space="preserve"> those with disabilities in work</w:t>
      </w:r>
      <w:r w:rsidR="00F836F5">
        <w:rPr>
          <w:rFonts w:ascii="Expert Sans Regular" w:hAnsi="Expert Sans Regular"/>
          <w:sz w:val="21"/>
          <w:szCs w:val="21"/>
        </w:rPr>
        <w:t>. I</w:t>
      </w:r>
      <w:r w:rsidR="009F5211">
        <w:rPr>
          <w:rFonts w:ascii="Expert Sans Regular" w:hAnsi="Expert Sans Regular"/>
          <w:sz w:val="21"/>
          <w:szCs w:val="21"/>
        </w:rPr>
        <w:t xml:space="preserve">ncreased engagement with organisations like </w:t>
      </w:r>
      <w:r w:rsidRPr="008A7F92">
        <w:rPr>
          <w:rFonts w:ascii="Expert Sans Regular" w:hAnsi="Expert Sans Regular"/>
          <w:sz w:val="21"/>
          <w:szCs w:val="21"/>
        </w:rPr>
        <w:t>Purple Space</w:t>
      </w:r>
      <w:r w:rsidR="0037269B">
        <w:rPr>
          <w:rFonts w:ascii="Expert Sans Regular" w:hAnsi="Expert Sans Regular"/>
          <w:sz w:val="21"/>
          <w:szCs w:val="21"/>
        </w:rPr>
        <w:t xml:space="preserve"> would facilitate this</w:t>
      </w:r>
      <w:r w:rsidRPr="008A7F92">
        <w:rPr>
          <w:rFonts w:ascii="Expert Sans Regular" w:hAnsi="Expert Sans Regular"/>
          <w:sz w:val="21"/>
          <w:szCs w:val="21"/>
        </w:rPr>
        <w:t xml:space="preserve">. </w:t>
      </w:r>
    </w:p>
    <w:p w14:paraId="40C84D79" w14:textId="77777777" w:rsidR="0037269B" w:rsidRDefault="0037269B" w:rsidP="009335DA">
      <w:pPr>
        <w:rPr>
          <w:rFonts w:ascii="Expert Sans Regular" w:hAnsi="Expert Sans Regular"/>
          <w:sz w:val="21"/>
          <w:szCs w:val="21"/>
        </w:rPr>
      </w:pPr>
      <w:r>
        <w:rPr>
          <w:rFonts w:ascii="Expert Sans Regular" w:hAnsi="Expert Sans Regular"/>
          <w:sz w:val="21"/>
          <w:szCs w:val="21"/>
        </w:rPr>
        <w:t>Networks</w:t>
      </w:r>
      <w:r w:rsidRPr="008A7F92">
        <w:rPr>
          <w:rFonts w:ascii="Expert Sans Regular" w:hAnsi="Expert Sans Regular"/>
          <w:sz w:val="21"/>
          <w:szCs w:val="21"/>
        </w:rPr>
        <w:t xml:space="preserve"> </w:t>
      </w:r>
      <w:r w:rsidR="00914565" w:rsidRPr="008A7F92">
        <w:rPr>
          <w:rFonts w:ascii="Expert Sans Regular" w:hAnsi="Expert Sans Regular"/>
          <w:sz w:val="21"/>
          <w:szCs w:val="21"/>
        </w:rPr>
        <w:t xml:space="preserve">support </w:t>
      </w:r>
      <w:r w:rsidR="007F49D9">
        <w:rPr>
          <w:rFonts w:ascii="Expert Sans Regular" w:hAnsi="Expert Sans Regular"/>
          <w:sz w:val="21"/>
          <w:szCs w:val="21"/>
        </w:rPr>
        <w:t xml:space="preserve">the wellbeing of colleagues in the workplace, for example guiding </w:t>
      </w:r>
      <w:r w:rsidR="00914565" w:rsidRPr="008A7F92">
        <w:rPr>
          <w:rFonts w:ascii="Expert Sans Regular" w:hAnsi="Expert Sans Regular"/>
          <w:sz w:val="21"/>
          <w:szCs w:val="21"/>
        </w:rPr>
        <w:t>people through the process of workplace adjustments</w:t>
      </w:r>
      <w:r w:rsidR="007F49D9">
        <w:rPr>
          <w:rFonts w:ascii="Expert Sans Regular" w:hAnsi="Expert Sans Regular"/>
          <w:sz w:val="21"/>
          <w:szCs w:val="21"/>
        </w:rPr>
        <w:t xml:space="preserve"> and leading awareness campaigns</w:t>
      </w:r>
      <w:r w:rsidR="00914565" w:rsidRPr="008A7F92">
        <w:rPr>
          <w:rFonts w:ascii="Expert Sans Regular" w:hAnsi="Expert Sans Regular"/>
          <w:sz w:val="21"/>
          <w:szCs w:val="21"/>
        </w:rPr>
        <w:t xml:space="preserve">. </w:t>
      </w:r>
      <w:r w:rsidR="00476FA5">
        <w:rPr>
          <w:rFonts w:ascii="Expert Sans Regular" w:hAnsi="Expert Sans Regular"/>
          <w:sz w:val="21"/>
          <w:szCs w:val="21"/>
        </w:rPr>
        <w:t>In Barclays, our network, Reach, has played a key rol</w:t>
      </w:r>
      <w:r w:rsidR="00914565" w:rsidRPr="008A7F92">
        <w:rPr>
          <w:rFonts w:ascii="Expert Sans Regular" w:hAnsi="Expert Sans Regular"/>
          <w:sz w:val="21"/>
          <w:szCs w:val="21"/>
        </w:rPr>
        <w:t xml:space="preserve">e </w:t>
      </w:r>
      <w:r w:rsidR="00476FA5">
        <w:rPr>
          <w:rFonts w:ascii="Expert Sans Regular" w:hAnsi="Expert Sans Regular"/>
          <w:sz w:val="21"/>
          <w:szCs w:val="21"/>
        </w:rPr>
        <w:t xml:space="preserve">in </w:t>
      </w:r>
      <w:r w:rsidR="00914565" w:rsidRPr="008A7F92">
        <w:rPr>
          <w:rFonts w:ascii="Expert Sans Regular" w:hAnsi="Expert Sans Regular"/>
          <w:sz w:val="21"/>
          <w:szCs w:val="21"/>
        </w:rPr>
        <w:t xml:space="preserve">mentoring </w:t>
      </w:r>
      <w:r w:rsidR="00476FA5">
        <w:rPr>
          <w:rFonts w:ascii="Expert Sans Regular" w:hAnsi="Expert Sans Regular"/>
          <w:sz w:val="21"/>
          <w:szCs w:val="21"/>
        </w:rPr>
        <w:t>candidates</w:t>
      </w:r>
      <w:r w:rsidR="00914565" w:rsidRPr="008A7F92">
        <w:rPr>
          <w:rFonts w:ascii="Expert Sans Regular" w:hAnsi="Expert Sans Regular"/>
          <w:sz w:val="21"/>
          <w:szCs w:val="21"/>
        </w:rPr>
        <w:t xml:space="preserve"> through the recruitment</w:t>
      </w:r>
      <w:r w:rsidR="00476FA5">
        <w:rPr>
          <w:rFonts w:ascii="Expert Sans Regular" w:hAnsi="Expert Sans Regular"/>
          <w:sz w:val="21"/>
          <w:szCs w:val="21"/>
        </w:rPr>
        <w:t xml:space="preserve"> process</w:t>
      </w:r>
      <w:r w:rsidR="00914565" w:rsidRPr="008A7F92">
        <w:rPr>
          <w:rFonts w:ascii="Expert Sans Regular" w:hAnsi="Expert Sans Regular"/>
          <w:sz w:val="21"/>
          <w:szCs w:val="21"/>
        </w:rPr>
        <w:t xml:space="preserve"> and </w:t>
      </w:r>
      <w:r w:rsidR="00476FA5">
        <w:rPr>
          <w:rFonts w:ascii="Expert Sans Regular" w:hAnsi="Expert Sans Regular"/>
          <w:sz w:val="21"/>
          <w:szCs w:val="21"/>
        </w:rPr>
        <w:t>during their induction in the business once appointed</w:t>
      </w:r>
      <w:r w:rsidR="00914565" w:rsidRPr="008A7F92">
        <w:rPr>
          <w:rFonts w:ascii="Expert Sans Regular" w:hAnsi="Expert Sans Regular"/>
          <w:sz w:val="21"/>
          <w:szCs w:val="21"/>
        </w:rPr>
        <w:t>.</w:t>
      </w:r>
      <w:r w:rsidR="004505E2">
        <w:rPr>
          <w:rFonts w:ascii="Expert Sans Regular" w:hAnsi="Expert Sans Regular"/>
          <w:sz w:val="21"/>
          <w:szCs w:val="21"/>
        </w:rPr>
        <w:t xml:space="preserve"> The Reach network initiated the ‘This is Me’ campaign to challenge the stigma of mental health in the workplace. From an original nine network members sharing their own experiences, nearly 200 colleagues have now done the same.</w:t>
      </w:r>
      <w:r>
        <w:rPr>
          <w:rFonts w:ascii="Expert Sans Regular" w:hAnsi="Expert Sans Regular"/>
          <w:sz w:val="21"/>
          <w:szCs w:val="21"/>
        </w:rPr>
        <w:t xml:space="preserve"> </w:t>
      </w:r>
      <w:r w:rsidR="00476FA5">
        <w:rPr>
          <w:rFonts w:ascii="Expert Sans Regular" w:hAnsi="Expert Sans Regular"/>
          <w:sz w:val="21"/>
          <w:szCs w:val="21"/>
        </w:rPr>
        <w:t>Networks</w:t>
      </w:r>
      <w:r w:rsidR="00A30985" w:rsidRPr="008A7F92">
        <w:rPr>
          <w:rFonts w:ascii="Expert Sans Regular" w:hAnsi="Expert Sans Regular"/>
          <w:sz w:val="21"/>
          <w:szCs w:val="21"/>
        </w:rPr>
        <w:t xml:space="preserve"> can help to influence practice and </w:t>
      </w:r>
      <w:r w:rsidR="00914565" w:rsidRPr="008A7F92">
        <w:rPr>
          <w:rFonts w:ascii="Expert Sans Regular" w:hAnsi="Expert Sans Regular"/>
          <w:sz w:val="21"/>
          <w:szCs w:val="21"/>
        </w:rPr>
        <w:t xml:space="preserve">challenge culture and stigma </w:t>
      </w:r>
      <w:r w:rsidR="00A30985" w:rsidRPr="008A7F92">
        <w:rPr>
          <w:rFonts w:ascii="Expert Sans Regular" w:hAnsi="Expert Sans Regular"/>
          <w:sz w:val="21"/>
          <w:szCs w:val="21"/>
        </w:rPr>
        <w:t>within organisations</w:t>
      </w:r>
      <w:r w:rsidR="00914565" w:rsidRPr="008A7F92">
        <w:rPr>
          <w:rFonts w:ascii="Expert Sans Regular" w:hAnsi="Expert Sans Regular"/>
          <w:sz w:val="21"/>
          <w:szCs w:val="21"/>
        </w:rPr>
        <w:t xml:space="preserve"> and help to change minds and attitudes towards employees with disabilities and health conditions.</w:t>
      </w:r>
      <w:r w:rsidR="00476FA5">
        <w:rPr>
          <w:rFonts w:ascii="Expert Sans Regular" w:hAnsi="Expert Sans Regular"/>
          <w:sz w:val="21"/>
          <w:szCs w:val="21"/>
        </w:rPr>
        <w:t xml:space="preserve"> Networks also provide valuable insight into the issues people with disabilities encounter at work and can help develop solutions.</w:t>
      </w:r>
      <w:r w:rsidR="004505E2">
        <w:rPr>
          <w:rFonts w:ascii="Expert Sans Regular" w:hAnsi="Expert Sans Regular"/>
          <w:sz w:val="21"/>
          <w:szCs w:val="21"/>
        </w:rPr>
        <w:t xml:space="preserve"> Research from Purple Space  (Feb 2017) shows that 9/10 people surveyed feel that both employers and employees gain significant value from disability networks and 96% of those surveyed in the private sector believe that networks are key in retaining employees with disabilities in the workplace.</w:t>
      </w:r>
    </w:p>
    <w:p w14:paraId="40C84D7A" w14:textId="77777777" w:rsidR="0037269B" w:rsidRDefault="0037269B">
      <w:pPr>
        <w:rPr>
          <w:rFonts w:ascii="Expert Sans Regular" w:hAnsi="Expert Sans Regular"/>
          <w:sz w:val="21"/>
          <w:szCs w:val="21"/>
        </w:rPr>
      </w:pPr>
      <w:r>
        <w:rPr>
          <w:rFonts w:ascii="Expert Sans Regular" w:hAnsi="Expert Sans Regular"/>
          <w:sz w:val="21"/>
          <w:szCs w:val="21"/>
        </w:rPr>
        <w:t>However, for smaller organisations, we recommend the government facilitate the development of industry-specific virtual networks to ensure that all organisations, including SME’s benefit from this asset.</w:t>
      </w:r>
      <w:r w:rsidR="00476FA5">
        <w:rPr>
          <w:rFonts w:ascii="Expert Sans Regular" w:hAnsi="Expert Sans Regular"/>
          <w:sz w:val="21"/>
          <w:szCs w:val="21"/>
        </w:rPr>
        <w:t xml:space="preserve"> They should also capitalise on these structures to improve connectivity across networks and share best practice.</w:t>
      </w:r>
    </w:p>
    <w:p w14:paraId="40C84D7B" w14:textId="77777777" w:rsidR="00F3096F" w:rsidRPr="009335DA" w:rsidRDefault="00F3096F" w:rsidP="009335DA">
      <w:pPr>
        <w:spacing w:after="0"/>
        <w:rPr>
          <w:rFonts w:ascii="Expert Sans Regular" w:hAnsi="Expert Sans Regular"/>
          <w:b/>
          <w:szCs w:val="21"/>
        </w:rPr>
      </w:pPr>
      <w:r w:rsidRPr="009335DA">
        <w:rPr>
          <w:rFonts w:ascii="Expert Sans Regular" w:hAnsi="Expert Sans Regular"/>
          <w:b/>
          <w:szCs w:val="21"/>
        </w:rPr>
        <w:t xml:space="preserve">Sharing </w:t>
      </w:r>
      <w:r w:rsidR="00914565" w:rsidRPr="009335DA">
        <w:rPr>
          <w:rFonts w:ascii="Expert Sans Regular" w:hAnsi="Expert Sans Regular"/>
          <w:b/>
          <w:szCs w:val="21"/>
        </w:rPr>
        <w:t>best practice, in particular for SMEs:</w:t>
      </w:r>
    </w:p>
    <w:p w14:paraId="40C84D7C" w14:textId="77777777" w:rsidR="00F3096F" w:rsidRPr="008A7F92" w:rsidRDefault="00F3096F" w:rsidP="00F3096F">
      <w:pPr>
        <w:rPr>
          <w:rFonts w:ascii="Expert Sans Regular" w:hAnsi="Expert Sans Regular"/>
          <w:sz w:val="21"/>
          <w:szCs w:val="21"/>
        </w:rPr>
      </w:pPr>
      <w:r w:rsidRPr="008A7F92">
        <w:rPr>
          <w:rFonts w:ascii="Expert Sans Regular" w:hAnsi="Expert Sans Regular"/>
          <w:sz w:val="21"/>
          <w:szCs w:val="21"/>
        </w:rPr>
        <w:t xml:space="preserve">Sharing information and best practice is important and more could be done to bring together </w:t>
      </w:r>
      <w:r w:rsidR="00D956AF">
        <w:rPr>
          <w:rFonts w:ascii="Expert Sans Regular" w:hAnsi="Expert Sans Regular"/>
          <w:sz w:val="21"/>
          <w:szCs w:val="21"/>
        </w:rPr>
        <w:t>a</w:t>
      </w:r>
      <w:r w:rsidRPr="008A7F92">
        <w:rPr>
          <w:rFonts w:ascii="Expert Sans Regular" w:hAnsi="Expert Sans Regular"/>
          <w:sz w:val="21"/>
          <w:szCs w:val="21"/>
        </w:rPr>
        <w:t xml:space="preserve">lliances </w:t>
      </w:r>
      <w:r w:rsidR="007F49D9">
        <w:rPr>
          <w:rFonts w:ascii="Expert Sans Regular" w:hAnsi="Expert Sans Regular"/>
          <w:sz w:val="21"/>
          <w:szCs w:val="21"/>
        </w:rPr>
        <w:t>of disability bodies and N</w:t>
      </w:r>
      <w:r w:rsidR="00D32E93">
        <w:rPr>
          <w:rFonts w:ascii="Expert Sans Regular" w:hAnsi="Expert Sans Regular"/>
          <w:sz w:val="21"/>
          <w:szCs w:val="21"/>
        </w:rPr>
        <w:t>GO’s</w:t>
      </w:r>
      <w:r w:rsidRPr="008A7F92">
        <w:rPr>
          <w:rFonts w:ascii="Expert Sans Regular" w:hAnsi="Expert Sans Regular"/>
          <w:sz w:val="21"/>
          <w:szCs w:val="21"/>
        </w:rPr>
        <w:t xml:space="preserve"> </w:t>
      </w:r>
      <w:r w:rsidR="00C22F9D" w:rsidRPr="008A7F92">
        <w:rPr>
          <w:rFonts w:ascii="Expert Sans Regular" w:hAnsi="Expert Sans Regular"/>
          <w:sz w:val="21"/>
          <w:szCs w:val="21"/>
        </w:rPr>
        <w:t xml:space="preserve">to stop duplication of effort and to make it easier for people to find information. </w:t>
      </w:r>
      <w:r w:rsidR="006D7B2B">
        <w:rPr>
          <w:rFonts w:ascii="Expert Sans Regular" w:hAnsi="Expert Sans Regular"/>
          <w:sz w:val="21"/>
          <w:szCs w:val="21"/>
        </w:rPr>
        <w:t>Action</w:t>
      </w:r>
      <w:r w:rsidR="00C22F9D" w:rsidRPr="008A7F92">
        <w:rPr>
          <w:rFonts w:ascii="Expert Sans Regular" w:hAnsi="Expert Sans Regular"/>
          <w:sz w:val="21"/>
          <w:szCs w:val="21"/>
        </w:rPr>
        <w:t xml:space="preserve"> to link those </w:t>
      </w:r>
      <w:r w:rsidR="006D7B2B">
        <w:rPr>
          <w:rFonts w:ascii="Expert Sans Regular" w:hAnsi="Expert Sans Regular"/>
          <w:sz w:val="21"/>
          <w:szCs w:val="21"/>
        </w:rPr>
        <w:t xml:space="preserve">organisations that are </w:t>
      </w:r>
      <w:r w:rsidR="00C22F9D" w:rsidRPr="008A7F92">
        <w:rPr>
          <w:rFonts w:ascii="Expert Sans Regular" w:hAnsi="Expert Sans Regular"/>
          <w:sz w:val="21"/>
          <w:szCs w:val="21"/>
        </w:rPr>
        <w:t xml:space="preserve">taking positive steps to recruit and support people with disabilities into work should be </w:t>
      </w:r>
      <w:r w:rsidR="006D7B2B">
        <w:rPr>
          <w:rFonts w:ascii="Expert Sans Regular" w:hAnsi="Expert Sans Regular"/>
          <w:sz w:val="21"/>
          <w:szCs w:val="21"/>
        </w:rPr>
        <w:t>taken</w:t>
      </w:r>
      <w:r w:rsidR="00C22F9D" w:rsidRPr="008A7F92">
        <w:rPr>
          <w:rFonts w:ascii="Expert Sans Regular" w:hAnsi="Expert Sans Regular"/>
          <w:sz w:val="21"/>
          <w:szCs w:val="21"/>
        </w:rPr>
        <w:t>, recognising that there may be more relevan</w:t>
      </w:r>
      <w:r w:rsidR="007F49D9">
        <w:rPr>
          <w:rFonts w:ascii="Expert Sans Regular" w:hAnsi="Expert Sans Regular"/>
          <w:sz w:val="21"/>
          <w:szCs w:val="21"/>
        </w:rPr>
        <w:t>t experience on a sector-by-</w:t>
      </w:r>
      <w:r w:rsidR="00C22F9D" w:rsidRPr="008A7F92">
        <w:rPr>
          <w:rFonts w:ascii="Expert Sans Regular" w:hAnsi="Expert Sans Regular"/>
          <w:sz w:val="21"/>
          <w:szCs w:val="21"/>
        </w:rPr>
        <w:t>sector basis and that sometimes organisation</w:t>
      </w:r>
      <w:r w:rsidR="007F49D9">
        <w:rPr>
          <w:rFonts w:ascii="Expert Sans Regular" w:hAnsi="Expert Sans Regular"/>
          <w:sz w:val="21"/>
          <w:szCs w:val="21"/>
        </w:rPr>
        <w:t xml:space="preserve">s need more </w:t>
      </w:r>
      <w:r w:rsidR="007F49D9">
        <w:rPr>
          <w:rFonts w:ascii="Expert Sans Regular" w:hAnsi="Expert Sans Regular"/>
          <w:sz w:val="21"/>
          <w:szCs w:val="21"/>
        </w:rPr>
        <w:lastRenderedPageBreak/>
        <w:t>guidance than self-</w:t>
      </w:r>
      <w:r w:rsidR="00C22F9D" w:rsidRPr="008A7F92">
        <w:rPr>
          <w:rFonts w:ascii="Expert Sans Regular" w:hAnsi="Expert Sans Regular"/>
          <w:sz w:val="21"/>
          <w:szCs w:val="21"/>
        </w:rPr>
        <w:t xml:space="preserve">serving through a database. </w:t>
      </w:r>
      <w:r w:rsidR="006D7B2B">
        <w:rPr>
          <w:rFonts w:ascii="Expert Sans Regular" w:hAnsi="Expert Sans Regular"/>
          <w:sz w:val="21"/>
          <w:szCs w:val="21"/>
        </w:rPr>
        <w:t xml:space="preserve">Organisations like BDF can play an important role here and </w:t>
      </w:r>
      <w:r w:rsidR="007F49D9">
        <w:rPr>
          <w:rFonts w:ascii="Expert Sans Regular" w:hAnsi="Expert Sans Regular"/>
          <w:sz w:val="21"/>
          <w:szCs w:val="21"/>
        </w:rPr>
        <w:t xml:space="preserve">Government could </w:t>
      </w:r>
      <w:r w:rsidR="006D7B2B">
        <w:rPr>
          <w:rFonts w:ascii="Expert Sans Regular" w:hAnsi="Expert Sans Regular"/>
          <w:sz w:val="21"/>
          <w:szCs w:val="21"/>
        </w:rPr>
        <w:t>put in place steps to</w:t>
      </w:r>
      <w:r w:rsidR="007F49D9">
        <w:rPr>
          <w:rFonts w:ascii="Expert Sans Regular" w:hAnsi="Expert Sans Regular"/>
          <w:sz w:val="21"/>
          <w:szCs w:val="21"/>
        </w:rPr>
        <w:t xml:space="preserve"> facilitat</w:t>
      </w:r>
      <w:r w:rsidR="006D7B2B">
        <w:rPr>
          <w:rFonts w:ascii="Expert Sans Regular" w:hAnsi="Expert Sans Regular"/>
          <w:sz w:val="21"/>
          <w:szCs w:val="21"/>
        </w:rPr>
        <w:t>e</w:t>
      </w:r>
      <w:r w:rsidR="007F49D9">
        <w:rPr>
          <w:rFonts w:ascii="Expert Sans Regular" w:hAnsi="Expert Sans Regular"/>
          <w:sz w:val="21"/>
          <w:szCs w:val="21"/>
        </w:rPr>
        <w:t xml:space="preserve"> connectivity.</w:t>
      </w:r>
    </w:p>
    <w:p w14:paraId="40C84D7D" w14:textId="77777777" w:rsidR="00C22F9D" w:rsidRPr="008A7F92" w:rsidRDefault="0037269B" w:rsidP="00F3096F">
      <w:pPr>
        <w:rPr>
          <w:rFonts w:ascii="Expert Sans Regular" w:hAnsi="Expert Sans Regular"/>
          <w:sz w:val="21"/>
          <w:szCs w:val="21"/>
        </w:rPr>
      </w:pPr>
      <w:r w:rsidRPr="008A7F92">
        <w:rPr>
          <w:rFonts w:ascii="Expert Sans Regular" w:hAnsi="Expert Sans Regular"/>
          <w:sz w:val="21"/>
          <w:szCs w:val="21"/>
        </w:rPr>
        <w:t>There is more business can do to connect large organisations with SME’s</w:t>
      </w:r>
      <w:r>
        <w:rPr>
          <w:rFonts w:ascii="Expert Sans Regular" w:hAnsi="Expert Sans Regular"/>
          <w:sz w:val="21"/>
          <w:szCs w:val="21"/>
        </w:rPr>
        <w:t>. Larger b</w:t>
      </w:r>
      <w:r w:rsidR="00C22F9D" w:rsidRPr="008A7F92">
        <w:rPr>
          <w:rFonts w:ascii="Expert Sans Regular" w:hAnsi="Expert Sans Regular"/>
          <w:sz w:val="21"/>
          <w:szCs w:val="21"/>
        </w:rPr>
        <w:t>usiness</w:t>
      </w:r>
      <w:r>
        <w:rPr>
          <w:rFonts w:ascii="Expert Sans Regular" w:hAnsi="Expert Sans Regular"/>
          <w:sz w:val="21"/>
          <w:szCs w:val="21"/>
        </w:rPr>
        <w:t>es</w:t>
      </w:r>
      <w:r w:rsidR="00C22F9D" w:rsidRPr="008A7F92">
        <w:rPr>
          <w:rFonts w:ascii="Expert Sans Regular" w:hAnsi="Expert Sans Regular"/>
          <w:sz w:val="21"/>
          <w:szCs w:val="21"/>
        </w:rPr>
        <w:t xml:space="preserve"> can play a</w:t>
      </w:r>
      <w:r w:rsidR="00D32E93">
        <w:rPr>
          <w:rFonts w:ascii="Expert Sans Regular" w:hAnsi="Expert Sans Regular"/>
          <w:sz w:val="21"/>
          <w:szCs w:val="21"/>
        </w:rPr>
        <w:t>n important</w:t>
      </w:r>
      <w:r w:rsidR="00C22F9D" w:rsidRPr="008A7F92">
        <w:rPr>
          <w:rFonts w:ascii="Expert Sans Regular" w:hAnsi="Expert Sans Regular"/>
          <w:sz w:val="21"/>
          <w:szCs w:val="21"/>
        </w:rPr>
        <w:t xml:space="preserve"> role</w:t>
      </w:r>
      <w:r>
        <w:rPr>
          <w:rFonts w:ascii="Expert Sans Regular" w:hAnsi="Expert Sans Regular"/>
          <w:sz w:val="21"/>
          <w:szCs w:val="21"/>
        </w:rPr>
        <w:t xml:space="preserve"> in supporting SME’s by connecting with clients, partners and supply chain</w:t>
      </w:r>
      <w:r w:rsidR="00C22F9D" w:rsidRPr="008A7F92">
        <w:rPr>
          <w:rFonts w:ascii="Expert Sans Regular" w:hAnsi="Expert Sans Regular"/>
          <w:sz w:val="21"/>
          <w:szCs w:val="21"/>
        </w:rPr>
        <w:t xml:space="preserve"> </w:t>
      </w:r>
      <w:r w:rsidR="00D32E93">
        <w:rPr>
          <w:rFonts w:ascii="Expert Sans Regular" w:hAnsi="Expert Sans Regular"/>
          <w:sz w:val="21"/>
          <w:szCs w:val="21"/>
        </w:rPr>
        <w:t>as demonstrated through Barclays</w:t>
      </w:r>
      <w:r w:rsidR="00C22F9D" w:rsidRPr="008A7F92">
        <w:rPr>
          <w:rFonts w:ascii="Expert Sans Regular" w:hAnsi="Expert Sans Regular"/>
          <w:sz w:val="21"/>
          <w:szCs w:val="21"/>
        </w:rPr>
        <w:t xml:space="preserve"> corporate portal</w:t>
      </w:r>
      <w:r w:rsidR="00D32E93">
        <w:rPr>
          <w:rFonts w:ascii="Expert Sans Regular" w:hAnsi="Expert Sans Regular"/>
          <w:sz w:val="21"/>
          <w:szCs w:val="21"/>
        </w:rPr>
        <w:t xml:space="preserve"> </w:t>
      </w:r>
      <w:hyperlink r:id="rId16" w:history="1">
        <w:r w:rsidR="00D32E93" w:rsidRPr="001B34FB">
          <w:rPr>
            <w:rStyle w:val="Hyperlink"/>
            <w:rFonts w:ascii="Expert Sans Regular" w:hAnsi="Expert Sans Regular"/>
            <w:sz w:val="21"/>
            <w:szCs w:val="21"/>
          </w:rPr>
          <w:t>www.barclayscorporate.com/accessibility</w:t>
        </w:r>
      </w:hyperlink>
      <w:r w:rsidR="00C22F9D" w:rsidRPr="008A7F92">
        <w:rPr>
          <w:rFonts w:ascii="Expert Sans Regular" w:hAnsi="Expert Sans Regular"/>
          <w:sz w:val="21"/>
          <w:szCs w:val="21"/>
        </w:rPr>
        <w:t xml:space="preserve">. </w:t>
      </w:r>
      <w:r w:rsidR="007F49D9">
        <w:rPr>
          <w:rFonts w:ascii="Expert Sans Regular" w:hAnsi="Expert Sans Regular"/>
          <w:sz w:val="21"/>
          <w:szCs w:val="21"/>
        </w:rPr>
        <w:t>F</w:t>
      </w:r>
      <w:r w:rsidR="00C22F9D" w:rsidRPr="008A7F92">
        <w:rPr>
          <w:rFonts w:ascii="Expert Sans Regular" w:hAnsi="Expert Sans Regular"/>
          <w:sz w:val="21"/>
          <w:szCs w:val="21"/>
        </w:rPr>
        <w:t>or example</w:t>
      </w:r>
      <w:r w:rsidR="007F49D9">
        <w:rPr>
          <w:rFonts w:ascii="Expert Sans Regular" w:hAnsi="Expert Sans Regular"/>
          <w:sz w:val="21"/>
          <w:szCs w:val="21"/>
        </w:rPr>
        <w:t>,</w:t>
      </w:r>
      <w:r w:rsidR="00C22F9D" w:rsidRPr="008A7F92">
        <w:rPr>
          <w:rFonts w:ascii="Expert Sans Regular" w:hAnsi="Expert Sans Regular"/>
          <w:sz w:val="21"/>
          <w:szCs w:val="21"/>
        </w:rPr>
        <w:t xml:space="preserve"> in Barclays’ case it share</w:t>
      </w:r>
      <w:r>
        <w:rPr>
          <w:rFonts w:ascii="Expert Sans Regular" w:hAnsi="Expert Sans Regular"/>
          <w:sz w:val="21"/>
          <w:szCs w:val="21"/>
        </w:rPr>
        <w:t>s</w:t>
      </w:r>
      <w:r w:rsidR="00C22F9D" w:rsidRPr="008A7F92">
        <w:rPr>
          <w:rFonts w:ascii="Expert Sans Regular" w:hAnsi="Expert Sans Regular"/>
          <w:sz w:val="21"/>
          <w:szCs w:val="21"/>
        </w:rPr>
        <w:t xml:space="preserve"> b</w:t>
      </w:r>
      <w:r w:rsidR="00D32E93">
        <w:rPr>
          <w:rFonts w:ascii="Expert Sans Regular" w:hAnsi="Expert Sans Regular"/>
          <w:sz w:val="21"/>
          <w:szCs w:val="21"/>
        </w:rPr>
        <w:t>e</w:t>
      </w:r>
      <w:r w:rsidR="00C22F9D" w:rsidRPr="008A7F92">
        <w:rPr>
          <w:rFonts w:ascii="Expert Sans Regular" w:hAnsi="Expert Sans Regular"/>
          <w:sz w:val="21"/>
          <w:szCs w:val="21"/>
        </w:rPr>
        <w:t>st practice with clients and find</w:t>
      </w:r>
      <w:r>
        <w:rPr>
          <w:rFonts w:ascii="Expert Sans Regular" w:hAnsi="Expert Sans Regular"/>
          <w:sz w:val="21"/>
          <w:szCs w:val="21"/>
        </w:rPr>
        <w:t>s</w:t>
      </w:r>
      <w:r w:rsidR="00C22F9D" w:rsidRPr="008A7F92">
        <w:rPr>
          <w:rFonts w:ascii="Expert Sans Regular" w:hAnsi="Expert Sans Regular"/>
          <w:sz w:val="21"/>
          <w:szCs w:val="21"/>
        </w:rPr>
        <w:t xml:space="preserve"> ways to support them</w:t>
      </w:r>
      <w:r w:rsidR="007F49D9">
        <w:rPr>
          <w:rFonts w:ascii="Expert Sans Regular" w:hAnsi="Expert Sans Regular"/>
          <w:sz w:val="21"/>
          <w:szCs w:val="21"/>
        </w:rPr>
        <w:t>,</w:t>
      </w:r>
      <w:r w:rsidR="00C22F9D" w:rsidRPr="008A7F92">
        <w:rPr>
          <w:rFonts w:ascii="Expert Sans Regular" w:hAnsi="Expert Sans Regular"/>
          <w:sz w:val="21"/>
          <w:szCs w:val="21"/>
        </w:rPr>
        <w:t xml:space="preserve"> and suppliers</w:t>
      </w:r>
      <w:r w:rsidR="007F49D9">
        <w:rPr>
          <w:rFonts w:ascii="Expert Sans Regular" w:hAnsi="Expert Sans Regular"/>
          <w:sz w:val="21"/>
          <w:szCs w:val="21"/>
        </w:rPr>
        <w:t>,</w:t>
      </w:r>
      <w:r w:rsidR="00C22F9D" w:rsidRPr="008A7F92">
        <w:rPr>
          <w:rFonts w:ascii="Expert Sans Regular" w:hAnsi="Expert Sans Regular"/>
          <w:sz w:val="21"/>
          <w:szCs w:val="21"/>
        </w:rPr>
        <w:t xml:space="preserve"> with appropriate services</w:t>
      </w:r>
      <w:r w:rsidR="007F49D9">
        <w:rPr>
          <w:rFonts w:ascii="Expert Sans Regular" w:hAnsi="Expert Sans Regular"/>
          <w:sz w:val="21"/>
          <w:szCs w:val="21"/>
        </w:rPr>
        <w:t>, as well as</w:t>
      </w:r>
      <w:r w:rsidR="00C22F9D" w:rsidRPr="008A7F92">
        <w:rPr>
          <w:rFonts w:ascii="Expert Sans Regular" w:hAnsi="Expert Sans Regular"/>
          <w:sz w:val="21"/>
          <w:szCs w:val="21"/>
        </w:rPr>
        <w:t xml:space="preserve"> mentor them around best practice processes</w:t>
      </w:r>
      <w:r w:rsidR="009335DA">
        <w:rPr>
          <w:rFonts w:ascii="Expert Sans Regular" w:hAnsi="Expert Sans Regular"/>
          <w:sz w:val="21"/>
          <w:szCs w:val="21"/>
        </w:rPr>
        <w:t>.</w:t>
      </w:r>
      <w:r w:rsidR="00C22F9D" w:rsidRPr="008A7F92">
        <w:rPr>
          <w:rFonts w:ascii="Expert Sans Regular" w:hAnsi="Expert Sans Regular"/>
          <w:sz w:val="21"/>
          <w:szCs w:val="21"/>
        </w:rPr>
        <w:t xml:space="preserve"> This co</w:t>
      </w:r>
      <w:r w:rsidR="00D32E93">
        <w:rPr>
          <w:rFonts w:ascii="Expert Sans Regular" w:hAnsi="Expert Sans Regular"/>
          <w:sz w:val="21"/>
          <w:szCs w:val="21"/>
        </w:rPr>
        <w:t>uld be seen as a powerful value-</w:t>
      </w:r>
      <w:r w:rsidR="00C22F9D" w:rsidRPr="008A7F92">
        <w:rPr>
          <w:rFonts w:ascii="Expert Sans Regular" w:hAnsi="Expert Sans Regular"/>
          <w:sz w:val="21"/>
          <w:szCs w:val="21"/>
        </w:rPr>
        <w:t>add to SME clients.</w:t>
      </w:r>
    </w:p>
    <w:p w14:paraId="40C84D7E" w14:textId="77777777" w:rsidR="00C22F9D" w:rsidRPr="008A7F92" w:rsidRDefault="00C22F9D" w:rsidP="00F3096F">
      <w:pPr>
        <w:rPr>
          <w:rFonts w:ascii="Expert Sans Regular" w:hAnsi="Expert Sans Regular"/>
          <w:sz w:val="21"/>
          <w:szCs w:val="21"/>
        </w:rPr>
      </w:pPr>
      <w:r w:rsidRPr="008A7F92">
        <w:rPr>
          <w:rFonts w:ascii="Expert Sans Regular" w:hAnsi="Expert Sans Regular"/>
          <w:sz w:val="21"/>
          <w:szCs w:val="21"/>
        </w:rPr>
        <w:t>Metrics are important in tr</w:t>
      </w:r>
      <w:r w:rsidR="00D32E93">
        <w:rPr>
          <w:rFonts w:ascii="Expert Sans Regular" w:hAnsi="Expert Sans Regular"/>
          <w:sz w:val="21"/>
          <w:szCs w:val="21"/>
        </w:rPr>
        <w:t xml:space="preserve">ying to drive the business case. </w:t>
      </w:r>
      <w:r w:rsidRPr="008A7F92">
        <w:rPr>
          <w:rFonts w:ascii="Expert Sans Regular" w:hAnsi="Expert Sans Regular"/>
          <w:sz w:val="21"/>
          <w:szCs w:val="21"/>
        </w:rPr>
        <w:t>They help to build confidence within a business and influence the right processes and practice. However, more data is needed and</w:t>
      </w:r>
      <w:r w:rsidR="00775B72" w:rsidRPr="008A7F92">
        <w:rPr>
          <w:rFonts w:ascii="Expert Sans Regular" w:hAnsi="Expert Sans Regular"/>
          <w:sz w:val="21"/>
          <w:szCs w:val="21"/>
        </w:rPr>
        <w:t xml:space="preserve"> there need</w:t>
      </w:r>
      <w:r w:rsidR="00D32E93">
        <w:rPr>
          <w:rFonts w:ascii="Expert Sans Regular" w:hAnsi="Expert Sans Regular"/>
          <w:sz w:val="21"/>
          <w:szCs w:val="21"/>
        </w:rPr>
        <w:t>s</w:t>
      </w:r>
      <w:r w:rsidR="00775B72" w:rsidRPr="008A7F92">
        <w:rPr>
          <w:rFonts w:ascii="Expert Sans Regular" w:hAnsi="Expert Sans Regular"/>
          <w:sz w:val="21"/>
          <w:szCs w:val="21"/>
        </w:rPr>
        <w:t xml:space="preserve"> to </w:t>
      </w:r>
      <w:r w:rsidRPr="008A7F92">
        <w:rPr>
          <w:rFonts w:ascii="Expert Sans Regular" w:hAnsi="Expert Sans Regular"/>
          <w:sz w:val="21"/>
          <w:szCs w:val="21"/>
        </w:rPr>
        <w:t>b</w:t>
      </w:r>
      <w:r w:rsidR="00775B72" w:rsidRPr="008A7F92">
        <w:rPr>
          <w:rFonts w:ascii="Expert Sans Regular" w:hAnsi="Expert Sans Regular"/>
          <w:sz w:val="21"/>
          <w:szCs w:val="21"/>
        </w:rPr>
        <w:t>e</w:t>
      </w:r>
      <w:r w:rsidRPr="008A7F92">
        <w:rPr>
          <w:rFonts w:ascii="Expert Sans Regular" w:hAnsi="Expert Sans Regular"/>
          <w:sz w:val="21"/>
          <w:szCs w:val="21"/>
        </w:rPr>
        <w:t xml:space="preserve"> some consistent metrics that demonstrate the link between performance and prod</w:t>
      </w:r>
      <w:r w:rsidR="007F49D9">
        <w:rPr>
          <w:rFonts w:ascii="Expert Sans Regular" w:hAnsi="Expert Sans Regular"/>
          <w:sz w:val="21"/>
          <w:szCs w:val="21"/>
        </w:rPr>
        <w:t>uctivity. The G</w:t>
      </w:r>
      <w:r w:rsidRPr="008A7F92">
        <w:rPr>
          <w:rFonts w:ascii="Expert Sans Regular" w:hAnsi="Expert Sans Regular"/>
          <w:sz w:val="21"/>
          <w:szCs w:val="21"/>
        </w:rPr>
        <w:t>overnment could play a key role in coordinating agreement around</w:t>
      </w:r>
      <w:r w:rsidR="0037269B">
        <w:rPr>
          <w:rFonts w:ascii="Expert Sans Regular" w:hAnsi="Expert Sans Regular"/>
          <w:sz w:val="21"/>
          <w:szCs w:val="21"/>
        </w:rPr>
        <w:t xml:space="preserve"> consistent</w:t>
      </w:r>
      <w:r w:rsidRPr="008A7F92">
        <w:rPr>
          <w:rFonts w:ascii="Expert Sans Regular" w:hAnsi="Expert Sans Regular"/>
          <w:sz w:val="21"/>
          <w:szCs w:val="21"/>
        </w:rPr>
        <w:t xml:space="preserve"> key metrics and analysing the data</w:t>
      </w:r>
      <w:r w:rsidR="0037269B">
        <w:rPr>
          <w:rFonts w:ascii="Expert Sans Regular" w:hAnsi="Expert Sans Regular"/>
          <w:sz w:val="21"/>
          <w:szCs w:val="21"/>
        </w:rPr>
        <w:t xml:space="preserve"> that will support the business case for employing people with disabilities and health conditions</w:t>
      </w:r>
      <w:r w:rsidRPr="008A7F92">
        <w:rPr>
          <w:rFonts w:ascii="Expert Sans Regular" w:hAnsi="Expert Sans Regular"/>
          <w:sz w:val="21"/>
          <w:szCs w:val="21"/>
        </w:rPr>
        <w:t>.</w:t>
      </w:r>
    </w:p>
    <w:p w14:paraId="40C84D7F" w14:textId="77777777" w:rsidR="00A154D2" w:rsidRPr="009335DA" w:rsidRDefault="00D32E93" w:rsidP="00A154D2">
      <w:pPr>
        <w:rPr>
          <w:rFonts w:ascii="Expert Sans Regular" w:hAnsi="Expert Sans Regular"/>
          <w:b/>
          <w:sz w:val="24"/>
          <w:szCs w:val="21"/>
          <w:u w:val="single"/>
        </w:rPr>
      </w:pPr>
      <w:r w:rsidRPr="009335DA">
        <w:rPr>
          <w:rFonts w:ascii="Expert Sans Regular" w:hAnsi="Expert Sans Regular"/>
          <w:b/>
          <w:sz w:val="24"/>
          <w:szCs w:val="21"/>
          <w:u w:val="single"/>
        </w:rPr>
        <w:t xml:space="preserve">Question </w:t>
      </w:r>
      <w:r w:rsidR="00A154D2" w:rsidRPr="009335DA">
        <w:rPr>
          <w:rFonts w:ascii="Expert Sans Regular" w:hAnsi="Expert Sans Regular"/>
          <w:b/>
          <w:sz w:val="24"/>
          <w:szCs w:val="21"/>
          <w:u w:val="single"/>
        </w:rPr>
        <w:t>9. Moving into work</w:t>
      </w:r>
    </w:p>
    <w:p w14:paraId="40C84D80" w14:textId="77777777" w:rsidR="00A154D2" w:rsidRPr="009335DA" w:rsidRDefault="00A154D2" w:rsidP="00A154D2">
      <w:pPr>
        <w:rPr>
          <w:rFonts w:ascii="Expert Sans Regular" w:hAnsi="Expert Sans Regular"/>
          <w:b/>
          <w:i/>
          <w:szCs w:val="21"/>
        </w:rPr>
      </w:pPr>
      <w:r w:rsidRPr="009335DA">
        <w:rPr>
          <w:rFonts w:ascii="Expert Sans Regular" w:hAnsi="Expert Sans Regular"/>
          <w:b/>
          <w:i/>
          <w:szCs w:val="21"/>
        </w:rPr>
        <w:t>How can existing government support be reformed to better support the recruitment and retention of disabled people and people with health conditions?</w:t>
      </w:r>
    </w:p>
    <w:p w14:paraId="40C84D81" w14:textId="77777777" w:rsidR="00D32E93" w:rsidRPr="009335DA" w:rsidRDefault="00D32E93" w:rsidP="00A154D2">
      <w:pPr>
        <w:rPr>
          <w:rFonts w:ascii="Expert Sans Regular" w:hAnsi="Expert Sans Regular"/>
          <w:b/>
          <w:szCs w:val="21"/>
        </w:rPr>
      </w:pPr>
      <w:r w:rsidRPr="009335DA">
        <w:rPr>
          <w:rFonts w:ascii="Expert Sans Regular" w:hAnsi="Expert Sans Regular"/>
          <w:b/>
          <w:szCs w:val="21"/>
        </w:rPr>
        <w:t>Strengthening Government initiatives:</w:t>
      </w:r>
    </w:p>
    <w:p w14:paraId="40C84D82" w14:textId="77777777" w:rsidR="00C62640" w:rsidRDefault="009F5211" w:rsidP="00A154D2">
      <w:pPr>
        <w:rPr>
          <w:rFonts w:ascii="Expert Sans Regular" w:hAnsi="Expert Sans Regular"/>
          <w:sz w:val="21"/>
          <w:szCs w:val="21"/>
        </w:rPr>
      </w:pPr>
      <w:r w:rsidRPr="009F5211">
        <w:rPr>
          <w:rFonts w:ascii="Expert Sans Regular" w:hAnsi="Expert Sans Regular"/>
          <w:sz w:val="21"/>
          <w:szCs w:val="21"/>
        </w:rPr>
        <w:t>It is recognised that</w:t>
      </w:r>
      <w:r w:rsidR="00A154D2" w:rsidRPr="009F5211">
        <w:rPr>
          <w:rFonts w:ascii="Expert Sans Regular" w:hAnsi="Expert Sans Regular"/>
          <w:sz w:val="21"/>
          <w:szCs w:val="21"/>
        </w:rPr>
        <w:t xml:space="preserve"> </w:t>
      </w:r>
      <w:r w:rsidR="0037269B">
        <w:rPr>
          <w:rFonts w:ascii="Expert Sans Regular" w:hAnsi="Expert Sans Regular"/>
          <w:sz w:val="21"/>
          <w:szCs w:val="21"/>
        </w:rPr>
        <w:t xml:space="preserve">whilst </w:t>
      </w:r>
      <w:r w:rsidR="00A154D2" w:rsidRPr="009F5211">
        <w:rPr>
          <w:rFonts w:ascii="Expert Sans Regular" w:hAnsi="Expert Sans Regular"/>
          <w:sz w:val="21"/>
          <w:szCs w:val="21"/>
        </w:rPr>
        <w:t>Access to Work</w:t>
      </w:r>
      <w:r w:rsidR="00C62640">
        <w:rPr>
          <w:rFonts w:ascii="Expert Sans Regular" w:hAnsi="Expert Sans Regular"/>
          <w:sz w:val="21"/>
          <w:szCs w:val="21"/>
        </w:rPr>
        <w:t xml:space="preserve"> </w:t>
      </w:r>
      <w:r w:rsidR="00D956AF">
        <w:rPr>
          <w:rFonts w:ascii="Expert Sans Regular" w:hAnsi="Expert Sans Regular"/>
          <w:sz w:val="21"/>
          <w:szCs w:val="21"/>
        </w:rPr>
        <w:t>has the right objectives, there is more to do to</w:t>
      </w:r>
      <w:r w:rsidR="00C62640">
        <w:rPr>
          <w:rFonts w:ascii="Expert Sans Regular" w:hAnsi="Expert Sans Regular"/>
          <w:sz w:val="21"/>
          <w:szCs w:val="21"/>
        </w:rPr>
        <w:t xml:space="preserve"> meet the needs of </w:t>
      </w:r>
      <w:r w:rsidR="00D956AF">
        <w:rPr>
          <w:rFonts w:ascii="Expert Sans Regular" w:hAnsi="Expert Sans Regular"/>
          <w:sz w:val="21"/>
          <w:szCs w:val="21"/>
        </w:rPr>
        <w:t xml:space="preserve">both </w:t>
      </w:r>
      <w:r w:rsidR="00C62640">
        <w:rPr>
          <w:rFonts w:ascii="Expert Sans Regular" w:hAnsi="Expert Sans Regular"/>
          <w:sz w:val="21"/>
          <w:szCs w:val="21"/>
        </w:rPr>
        <w:t xml:space="preserve">employers </w:t>
      </w:r>
      <w:r w:rsidR="00D956AF">
        <w:rPr>
          <w:rFonts w:ascii="Expert Sans Regular" w:hAnsi="Expert Sans Regular"/>
          <w:sz w:val="21"/>
          <w:szCs w:val="21"/>
        </w:rPr>
        <w:t>and</w:t>
      </w:r>
      <w:r w:rsidR="00C62640">
        <w:rPr>
          <w:rFonts w:ascii="Expert Sans Regular" w:hAnsi="Expert Sans Regular"/>
          <w:sz w:val="21"/>
          <w:szCs w:val="21"/>
        </w:rPr>
        <w:t xml:space="preserve"> those with disabilities and health conditions. Barclays experience is that</w:t>
      </w:r>
      <w:r w:rsidR="00A154D2" w:rsidRPr="008A7F92">
        <w:rPr>
          <w:rFonts w:ascii="Expert Sans Regular" w:hAnsi="Expert Sans Regular"/>
          <w:sz w:val="21"/>
          <w:szCs w:val="21"/>
        </w:rPr>
        <w:t xml:space="preserve"> processes </w:t>
      </w:r>
      <w:r w:rsidR="0037269B">
        <w:rPr>
          <w:rFonts w:ascii="Expert Sans Regular" w:hAnsi="Expert Sans Regular"/>
          <w:sz w:val="21"/>
          <w:szCs w:val="21"/>
        </w:rPr>
        <w:t>can be</w:t>
      </w:r>
      <w:r w:rsidR="0037269B" w:rsidRPr="008A7F92">
        <w:rPr>
          <w:rFonts w:ascii="Expert Sans Regular" w:hAnsi="Expert Sans Regular"/>
          <w:sz w:val="21"/>
          <w:szCs w:val="21"/>
        </w:rPr>
        <w:t xml:space="preserve"> </w:t>
      </w:r>
      <w:r w:rsidR="00A154D2" w:rsidRPr="008A7F92">
        <w:rPr>
          <w:rFonts w:ascii="Expert Sans Regular" w:hAnsi="Expert Sans Regular"/>
          <w:sz w:val="21"/>
          <w:szCs w:val="21"/>
        </w:rPr>
        <w:t>cumbersome and bureaucratic</w:t>
      </w:r>
      <w:r w:rsidR="00C62640">
        <w:rPr>
          <w:rFonts w:ascii="Expert Sans Regular" w:hAnsi="Expert Sans Regular"/>
          <w:sz w:val="21"/>
          <w:szCs w:val="21"/>
        </w:rPr>
        <w:t>,</w:t>
      </w:r>
      <w:r w:rsidR="00A154D2" w:rsidRPr="008A7F92">
        <w:rPr>
          <w:rFonts w:ascii="Expert Sans Regular" w:hAnsi="Expert Sans Regular"/>
          <w:sz w:val="21"/>
          <w:szCs w:val="21"/>
        </w:rPr>
        <w:t xml:space="preserve"> for both employers and employees. </w:t>
      </w:r>
      <w:r w:rsidR="00C62640">
        <w:rPr>
          <w:rFonts w:ascii="Expert Sans Regular" w:hAnsi="Expert Sans Regular"/>
          <w:sz w:val="21"/>
          <w:szCs w:val="21"/>
        </w:rPr>
        <w:t>For example, g</w:t>
      </w:r>
      <w:r w:rsidR="00A154D2" w:rsidRPr="008A7F92">
        <w:rPr>
          <w:rFonts w:ascii="Expert Sans Regular" w:hAnsi="Expert Sans Regular"/>
          <w:sz w:val="21"/>
          <w:szCs w:val="21"/>
        </w:rPr>
        <w:t>rants coming in cannot be attributed to individual cases, and it is prohibitive for multiple use. There is also duplication of assessments</w:t>
      </w:r>
      <w:r w:rsidR="00C62640">
        <w:rPr>
          <w:rFonts w:ascii="Expert Sans Regular" w:hAnsi="Expert Sans Regular"/>
          <w:sz w:val="21"/>
          <w:szCs w:val="21"/>
        </w:rPr>
        <w:t xml:space="preserve"> by different bodies before any grant can be awarded which is both time-consuming and a drain on resources. </w:t>
      </w:r>
    </w:p>
    <w:p w14:paraId="40C84D83" w14:textId="77777777" w:rsidR="00A154D2" w:rsidRDefault="00C62640" w:rsidP="00A154D2">
      <w:pPr>
        <w:rPr>
          <w:rFonts w:ascii="Expert Sans Regular" w:hAnsi="Expert Sans Regular"/>
          <w:sz w:val="21"/>
          <w:szCs w:val="21"/>
        </w:rPr>
      </w:pPr>
      <w:r>
        <w:rPr>
          <w:rFonts w:ascii="Expert Sans Regular" w:hAnsi="Expert Sans Regular"/>
          <w:sz w:val="21"/>
          <w:szCs w:val="21"/>
        </w:rPr>
        <w:t xml:space="preserve">Based on this, </w:t>
      </w:r>
      <w:r w:rsidR="00D956AF">
        <w:rPr>
          <w:rFonts w:ascii="Expert Sans Regular" w:hAnsi="Expert Sans Regular"/>
          <w:sz w:val="21"/>
          <w:szCs w:val="21"/>
        </w:rPr>
        <w:t>we</w:t>
      </w:r>
      <w:r>
        <w:rPr>
          <w:rFonts w:ascii="Expert Sans Regular" w:hAnsi="Expert Sans Regular"/>
          <w:sz w:val="21"/>
          <w:szCs w:val="21"/>
        </w:rPr>
        <w:t xml:space="preserve"> </w:t>
      </w:r>
      <w:r w:rsidR="0037269B">
        <w:rPr>
          <w:rFonts w:ascii="Expert Sans Regular" w:hAnsi="Expert Sans Regular"/>
          <w:sz w:val="21"/>
          <w:szCs w:val="21"/>
        </w:rPr>
        <w:t>believe</w:t>
      </w:r>
      <w:r w:rsidR="00D956AF">
        <w:rPr>
          <w:rFonts w:ascii="Expert Sans Regular" w:hAnsi="Expert Sans Regular"/>
          <w:sz w:val="21"/>
          <w:szCs w:val="21"/>
        </w:rPr>
        <w:t xml:space="preserve"> there is more it could do to</w:t>
      </w:r>
      <w:r w:rsidRPr="008A7F92">
        <w:rPr>
          <w:rFonts w:ascii="Expert Sans Regular" w:hAnsi="Expert Sans Regular"/>
          <w:sz w:val="21"/>
          <w:szCs w:val="21"/>
        </w:rPr>
        <w:t xml:space="preserve"> meet its policy objectives</w:t>
      </w:r>
      <w:r w:rsidR="00D956AF">
        <w:rPr>
          <w:rFonts w:ascii="Expert Sans Regular" w:hAnsi="Expert Sans Regular"/>
          <w:sz w:val="21"/>
          <w:szCs w:val="21"/>
        </w:rPr>
        <w:t xml:space="preserve"> and </w:t>
      </w:r>
      <w:r w:rsidR="0037269B">
        <w:rPr>
          <w:rFonts w:ascii="Expert Sans Regular" w:hAnsi="Expert Sans Regular"/>
          <w:sz w:val="21"/>
          <w:szCs w:val="21"/>
        </w:rPr>
        <w:t xml:space="preserve">recommend it </w:t>
      </w:r>
      <w:r w:rsidR="00D956AF">
        <w:rPr>
          <w:rFonts w:ascii="Expert Sans Regular" w:hAnsi="Expert Sans Regular"/>
          <w:sz w:val="21"/>
          <w:szCs w:val="21"/>
        </w:rPr>
        <w:t>should be reviewed</w:t>
      </w:r>
      <w:r w:rsidRPr="008A7F92">
        <w:rPr>
          <w:rFonts w:ascii="Expert Sans Regular" w:hAnsi="Expert Sans Regular"/>
          <w:sz w:val="21"/>
          <w:szCs w:val="21"/>
        </w:rPr>
        <w:t>.</w:t>
      </w:r>
      <w:r>
        <w:rPr>
          <w:rFonts w:ascii="Expert Sans Regular" w:hAnsi="Expert Sans Regular"/>
          <w:sz w:val="21"/>
          <w:szCs w:val="21"/>
        </w:rPr>
        <w:t xml:space="preserve"> Streamlining the process would increase efficiency and uptake, and a deeper understanding of the requirements of both key stakeholders is recommended.</w:t>
      </w:r>
      <w:r w:rsidR="00A154D2" w:rsidRPr="008A7F92">
        <w:rPr>
          <w:rFonts w:ascii="Expert Sans Regular" w:hAnsi="Expert Sans Regular"/>
          <w:sz w:val="21"/>
          <w:szCs w:val="21"/>
        </w:rPr>
        <w:t xml:space="preserve"> </w:t>
      </w:r>
      <w:r>
        <w:rPr>
          <w:rFonts w:ascii="Expert Sans Regular" w:hAnsi="Expert Sans Regular"/>
          <w:sz w:val="21"/>
          <w:szCs w:val="21"/>
        </w:rPr>
        <w:t xml:space="preserve">We would agree with the Business Disability Forum’s </w:t>
      </w:r>
      <w:r w:rsidR="006D7B2B">
        <w:rPr>
          <w:rFonts w:ascii="Expert Sans Regular" w:hAnsi="Expert Sans Regular"/>
          <w:sz w:val="21"/>
          <w:szCs w:val="21"/>
        </w:rPr>
        <w:t xml:space="preserve">(BDF) </w:t>
      </w:r>
      <w:r>
        <w:rPr>
          <w:rFonts w:ascii="Expert Sans Regular" w:hAnsi="Expert Sans Regular"/>
          <w:sz w:val="21"/>
          <w:szCs w:val="21"/>
        </w:rPr>
        <w:t>recommendation that the scheme should be made more ‘customer-centric’.</w:t>
      </w:r>
    </w:p>
    <w:p w14:paraId="40C84D84" w14:textId="77777777" w:rsidR="00476FA5" w:rsidRPr="008A7F92" w:rsidRDefault="00476FA5" w:rsidP="00A154D2">
      <w:pPr>
        <w:rPr>
          <w:rFonts w:ascii="Expert Sans Regular" w:hAnsi="Expert Sans Regular"/>
          <w:sz w:val="21"/>
          <w:szCs w:val="21"/>
        </w:rPr>
      </w:pPr>
      <w:r>
        <w:rPr>
          <w:rFonts w:ascii="Expert Sans Regular" w:hAnsi="Expert Sans Regular"/>
          <w:sz w:val="21"/>
          <w:szCs w:val="21"/>
        </w:rPr>
        <w:t>There is also an opportunity to improve Access to Work’s process by moving from</w:t>
      </w:r>
      <w:r w:rsidR="006D7B2B">
        <w:rPr>
          <w:rFonts w:ascii="Expert Sans Regular" w:hAnsi="Expert Sans Regular"/>
          <w:sz w:val="21"/>
          <w:szCs w:val="21"/>
        </w:rPr>
        <w:t xml:space="preserve"> being</w:t>
      </w:r>
      <w:r>
        <w:rPr>
          <w:rFonts w:ascii="Expert Sans Regular" w:hAnsi="Expert Sans Regular"/>
          <w:sz w:val="21"/>
          <w:szCs w:val="21"/>
        </w:rPr>
        <w:t xml:space="preserve"> paper-based to digital. This would enhance the claims process and could also consider ways of standardising accessibility markers to lead the way in shaping a common approach. We recommend this be considered as part of the review to make funding more accessible to applicants. Businesses like Barclays would be able to provide advice and testing with customers and clients.</w:t>
      </w:r>
    </w:p>
    <w:p w14:paraId="40C84D85" w14:textId="77777777" w:rsidR="00AE5068" w:rsidRDefault="00C62640" w:rsidP="00A154D2">
      <w:pPr>
        <w:rPr>
          <w:rFonts w:ascii="Expert Sans Regular" w:hAnsi="Expert Sans Regular"/>
          <w:sz w:val="21"/>
          <w:szCs w:val="21"/>
        </w:rPr>
      </w:pPr>
      <w:r>
        <w:rPr>
          <w:rFonts w:ascii="Expert Sans Regular" w:hAnsi="Expert Sans Regular"/>
          <w:sz w:val="21"/>
          <w:szCs w:val="21"/>
        </w:rPr>
        <w:t xml:space="preserve">We acknowledge that the Green Paper references a strengthening of the </w:t>
      </w:r>
      <w:r w:rsidR="00A154D2" w:rsidRPr="008A7F92">
        <w:rPr>
          <w:rFonts w:ascii="Expert Sans Regular" w:hAnsi="Expert Sans Regular"/>
          <w:sz w:val="21"/>
          <w:szCs w:val="21"/>
        </w:rPr>
        <w:t>Disability Confident</w:t>
      </w:r>
      <w:r>
        <w:rPr>
          <w:rFonts w:ascii="Expert Sans Regular" w:hAnsi="Expert Sans Regular"/>
          <w:sz w:val="21"/>
          <w:szCs w:val="21"/>
        </w:rPr>
        <w:t xml:space="preserve"> Scheme and </w:t>
      </w:r>
      <w:r w:rsidR="007F49D9">
        <w:rPr>
          <w:rFonts w:ascii="Expert Sans Regular" w:hAnsi="Expert Sans Regular"/>
          <w:sz w:val="21"/>
          <w:szCs w:val="21"/>
        </w:rPr>
        <w:t>in</w:t>
      </w:r>
      <w:r>
        <w:rPr>
          <w:rFonts w:ascii="Expert Sans Regular" w:hAnsi="Expert Sans Regular"/>
          <w:sz w:val="21"/>
          <w:szCs w:val="21"/>
        </w:rPr>
        <w:t xml:space="preserve"> particular the formation of the Disability Confident Leaders Group. We support the scheme being a first step for employers to consider recruiting more people</w:t>
      </w:r>
      <w:r w:rsidR="00AE5068">
        <w:rPr>
          <w:rFonts w:ascii="Expert Sans Regular" w:hAnsi="Expert Sans Regular"/>
          <w:sz w:val="21"/>
          <w:szCs w:val="21"/>
        </w:rPr>
        <w:t xml:space="preserve"> with disabil</w:t>
      </w:r>
      <w:r w:rsidR="007F49D9">
        <w:rPr>
          <w:rFonts w:ascii="Expert Sans Regular" w:hAnsi="Expert Sans Regular"/>
          <w:sz w:val="21"/>
          <w:szCs w:val="21"/>
        </w:rPr>
        <w:t>ities and building ‘quantity’ of</w:t>
      </w:r>
      <w:r w:rsidR="00AE5068">
        <w:rPr>
          <w:rFonts w:ascii="Expert Sans Regular" w:hAnsi="Expert Sans Regular"/>
          <w:sz w:val="21"/>
          <w:szCs w:val="21"/>
        </w:rPr>
        <w:t xml:space="preserve"> participants.</w:t>
      </w:r>
    </w:p>
    <w:p w14:paraId="40C84D86" w14:textId="77777777" w:rsidR="00A154D2" w:rsidRPr="008A7F92" w:rsidRDefault="00C62640" w:rsidP="00A154D2">
      <w:pPr>
        <w:rPr>
          <w:rFonts w:ascii="Expert Sans Regular" w:hAnsi="Expert Sans Regular"/>
          <w:sz w:val="21"/>
          <w:szCs w:val="21"/>
        </w:rPr>
      </w:pPr>
      <w:r>
        <w:rPr>
          <w:rFonts w:ascii="Expert Sans Regular" w:hAnsi="Expert Sans Regular"/>
          <w:sz w:val="21"/>
          <w:szCs w:val="21"/>
        </w:rPr>
        <w:lastRenderedPageBreak/>
        <w:t xml:space="preserve">However, we also feel it would benefit from great rigour in assessing </w:t>
      </w:r>
      <w:r w:rsidR="00AE5068">
        <w:rPr>
          <w:rFonts w:ascii="Expert Sans Regular" w:hAnsi="Expert Sans Regular"/>
          <w:sz w:val="21"/>
          <w:szCs w:val="21"/>
        </w:rPr>
        <w:t>‘</w:t>
      </w:r>
      <w:r>
        <w:rPr>
          <w:rFonts w:ascii="Expert Sans Regular" w:hAnsi="Expert Sans Regular"/>
          <w:sz w:val="21"/>
          <w:szCs w:val="21"/>
        </w:rPr>
        <w:t>quality</w:t>
      </w:r>
      <w:r w:rsidR="00AE5068">
        <w:rPr>
          <w:rFonts w:ascii="Expert Sans Regular" w:hAnsi="Expert Sans Regular"/>
          <w:sz w:val="21"/>
          <w:szCs w:val="21"/>
        </w:rPr>
        <w:t>’</w:t>
      </w:r>
      <w:r>
        <w:rPr>
          <w:rFonts w:ascii="Expert Sans Regular" w:hAnsi="Expert Sans Regular"/>
          <w:sz w:val="21"/>
          <w:szCs w:val="21"/>
        </w:rPr>
        <w:t xml:space="preserve"> of actions, </w:t>
      </w:r>
      <w:r w:rsidR="00AE5068">
        <w:rPr>
          <w:rFonts w:ascii="Expert Sans Regular" w:hAnsi="Expert Sans Regular"/>
          <w:sz w:val="21"/>
          <w:szCs w:val="21"/>
        </w:rPr>
        <w:t>to ensure meaningful interventions are put in place</w:t>
      </w:r>
      <w:r w:rsidR="006D7B2B">
        <w:rPr>
          <w:rFonts w:ascii="Expert Sans Regular" w:hAnsi="Expert Sans Regular"/>
          <w:sz w:val="21"/>
          <w:szCs w:val="21"/>
        </w:rPr>
        <w:t xml:space="preserve"> at levels 1 and 2</w:t>
      </w:r>
      <w:r w:rsidR="00AE5068">
        <w:rPr>
          <w:rFonts w:ascii="Expert Sans Regular" w:hAnsi="Expert Sans Regular"/>
          <w:sz w:val="21"/>
          <w:szCs w:val="21"/>
        </w:rPr>
        <w:t xml:space="preserve">. </w:t>
      </w:r>
      <w:r w:rsidR="006D7B2B">
        <w:rPr>
          <w:rFonts w:ascii="Expert Sans Regular" w:hAnsi="Expert Sans Regular"/>
          <w:sz w:val="21"/>
          <w:szCs w:val="21"/>
        </w:rPr>
        <w:t xml:space="preserve">Consideration should be given to expand a degree of </w:t>
      </w:r>
      <w:r w:rsidR="00AE5068">
        <w:rPr>
          <w:rFonts w:ascii="Expert Sans Regular" w:hAnsi="Expert Sans Regular"/>
          <w:sz w:val="21"/>
          <w:szCs w:val="21"/>
        </w:rPr>
        <w:t xml:space="preserve"> </w:t>
      </w:r>
      <w:r>
        <w:rPr>
          <w:rFonts w:ascii="Expert Sans Regular" w:hAnsi="Expert Sans Regular"/>
          <w:sz w:val="21"/>
          <w:szCs w:val="21"/>
        </w:rPr>
        <w:t xml:space="preserve">independent benchmarking </w:t>
      </w:r>
      <w:r w:rsidR="00AE5068">
        <w:rPr>
          <w:rFonts w:ascii="Expert Sans Regular" w:hAnsi="Expert Sans Regular"/>
          <w:sz w:val="21"/>
          <w:szCs w:val="21"/>
        </w:rPr>
        <w:t xml:space="preserve">to </w:t>
      </w:r>
      <w:r w:rsidR="006D7B2B">
        <w:rPr>
          <w:rFonts w:ascii="Expert Sans Regular" w:hAnsi="Expert Sans Regular"/>
          <w:sz w:val="21"/>
          <w:szCs w:val="21"/>
        </w:rPr>
        <w:t xml:space="preserve">these levels, even by Disability Confident Leaders who could </w:t>
      </w:r>
      <w:r w:rsidR="00AE5068">
        <w:rPr>
          <w:rFonts w:ascii="Expert Sans Regular" w:hAnsi="Expert Sans Regular"/>
          <w:sz w:val="21"/>
          <w:szCs w:val="21"/>
        </w:rPr>
        <w:t>assess</w:t>
      </w:r>
      <w:r>
        <w:rPr>
          <w:rFonts w:ascii="Expert Sans Regular" w:hAnsi="Expert Sans Regular"/>
          <w:sz w:val="21"/>
          <w:szCs w:val="21"/>
        </w:rPr>
        <w:t xml:space="preserve"> </w:t>
      </w:r>
      <w:r w:rsidR="006D7B2B">
        <w:rPr>
          <w:rFonts w:ascii="Expert Sans Regular" w:hAnsi="Expert Sans Regular"/>
          <w:sz w:val="21"/>
          <w:szCs w:val="21"/>
        </w:rPr>
        <w:t>the steps</w:t>
      </w:r>
      <w:r w:rsidR="00AE5068">
        <w:rPr>
          <w:rFonts w:ascii="Expert Sans Regular" w:hAnsi="Expert Sans Regular"/>
          <w:sz w:val="21"/>
          <w:szCs w:val="21"/>
        </w:rPr>
        <w:t xml:space="preserve"> put in place to recruit and support people with disabilities or health conditions. </w:t>
      </w:r>
    </w:p>
    <w:p w14:paraId="40C84D87" w14:textId="77777777" w:rsidR="00775B72" w:rsidRPr="009335DA" w:rsidRDefault="009F5211" w:rsidP="00775B72">
      <w:pPr>
        <w:rPr>
          <w:rFonts w:ascii="Expert Sans Regular" w:hAnsi="Expert Sans Regular"/>
          <w:b/>
          <w:sz w:val="24"/>
          <w:szCs w:val="21"/>
          <w:u w:val="single"/>
        </w:rPr>
      </w:pPr>
      <w:r w:rsidRPr="009335DA">
        <w:rPr>
          <w:rFonts w:ascii="Expert Sans Regular" w:hAnsi="Expert Sans Regular"/>
          <w:b/>
          <w:sz w:val="24"/>
          <w:szCs w:val="21"/>
          <w:u w:val="single"/>
        </w:rPr>
        <w:t xml:space="preserve">Question </w:t>
      </w:r>
      <w:r w:rsidR="00775B72" w:rsidRPr="009335DA">
        <w:rPr>
          <w:rFonts w:ascii="Expert Sans Regular" w:hAnsi="Expert Sans Regular"/>
          <w:b/>
          <w:sz w:val="24"/>
          <w:szCs w:val="21"/>
          <w:u w:val="single"/>
        </w:rPr>
        <w:t>10</w:t>
      </w:r>
      <w:r w:rsidR="00120D5F" w:rsidRPr="009335DA">
        <w:rPr>
          <w:rFonts w:ascii="Expert Sans Regular" w:hAnsi="Expert Sans Regular"/>
          <w:b/>
          <w:sz w:val="24"/>
          <w:szCs w:val="21"/>
          <w:u w:val="single"/>
        </w:rPr>
        <w:t>.</w:t>
      </w:r>
      <w:r w:rsidR="00775B72" w:rsidRPr="009335DA">
        <w:rPr>
          <w:rFonts w:ascii="Expert Sans Regular" w:hAnsi="Expert Sans Regular"/>
          <w:b/>
          <w:sz w:val="24"/>
          <w:szCs w:val="21"/>
          <w:u w:val="single"/>
        </w:rPr>
        <w:t xml:space="preserve"> Staying in or returning to work</w:t>
      </w:r>
    </w:p>
    <w:p w14:paraId="40C84D88" w14:textId="77777777" w:rsidR="00A154D2" w:rsidRPr="009335DA" w:rsidRDefault="00A154D2" w:rsidP="00775B72">
      <w:pPr>
        <w:rPr>
          <w:rFonts w:ascii="Expert Sans Regular" w:hAnsi="Expert Sans Regular"/>
          <w:b/>
          <w:i/>
          <w:szCs w:val="21"/>
        </w:rPr>
      </w:pPr>
      <w:r w:rsidRPr="009335DA">
        <w:rPr>
          <w:rFonts w:ascii="Expert Sans Regular" w:hAnsi="Expert Sans Regular"/>
          <w:b/>
          <w:i/>
          <w:szCs w:val="21"/>
        </w:rPr>
        <w:t xml:space="preserve">What good practice is in place to support inclusive recruitment, promote health and wellbeing, prevent ill health and support people to return </w:t>
      </w:r>
      <w:r w:rsidR="00A60DE3" w:rsidRPr="009335DA">
        <w:rPr>
          <w:rFonts w:ascii="Expert Sans Regular" w:hAnsi="Expert Sans Regular"/>
          <w:b/>
          <w:i/>
          <w:szCs w:val="21"/>
        </w:rPr>
        <w:t>t</w:t>
      </w:r>
      <w:r w:rsidRPr="009335DA">
        <w:rPr>
          <w:rFonts w:ascii="Expert Sans Regular" w:hAnsi="Expert Sans Regular"/>
          <w:b/>
          <w:i/>
          <w:szCs w:val="21"/>
        </w:rPr>
        <w:t>o work after periods of sickness?</w:t>
      </w:r>
    </w:p>
    <w:p w14:paraId="40C84D89" w14:textId="77777777" w:rsidR="00775B72" w:rsidRPr="009335DA" w:rsidRDefault="00120D5F" w:rsidP="009335DA">
      <w:pPr>
        <w:rPr>
          <w:rFonts w:ascii="Expert Sans Regular" w:hAnsi="Expert Sans Regular"/>
          <w:b/>
          <w:szCs w:val="21"/>
        </w:rPr>
      </w:pPr>
      <w:r w:rsidRPr="009335DA">
        <w:rPr>
          <w:rFonts w:ascii="Expert Sans Regular" w:hAnsi="Expert Sans Regular"/>
          <w:b/>
          <w:szCs w:val="21"/>
        </w:rPr>
        <w:t>Strengthening p</w:t>
      </w:r>
      <w:r w:rsidR="00775B72" w:rsidRPr="009335DA">
        <w:rPr>
          <w:rFonts w:ascii="Expert Sans Regular" w:hAnsi="Expert Sans Regular"/>
          <w:b/>
          <w:szCs w:val="21"/>
        </w:rPr>
        <w:t>rocess</w:t>
      </w:r>
      <w:r w:rsidR="00D32E93" w:rsidRPr="009335DA">
        <w:rPr>
          <w:rFonts w:ascii="Expert Sans Regular" w:hAnsi="Expert Sans Regular"/>
          <w:b/>
          <w:szCs w:val="21"/>
        </w:rPr>
        <w:t>es:</w:t>
      </w:r>
    </w:p>
    <w:p w14:paraId="40C84D8A" w14:textId="77777777" w:rsidR="00A758BA" w:rsidRPr="008A7F92" w:rsidRDefault="00775B72" w:rsidP="00775B72">
      <w:pPr>
        <w:rPr>
          <w:rFonts w:ascii="Expert Sans Regular" w:hAnsi="Expert Sans Regular"/>
          <w:sz w:val="21"/>
          <w:szCs w:val="21"/>
        </w:rPr>
      </w:pPr>
      <w:r w:rsidRPr="008A7F92">
        <w:rPr>
          <w:rFonts w:ascii="Expert Sans Regular" w:hAnsi="Expert Sans Regular"/>
          <w:sz w:val="21"/>
          <w:szCs w:val="21"/>
        </w:rPr>
        <w:t>Processes need to be in place to enable managers to have the confidence to have a conversation about disability or health conditions</w:t>
      </w:r>
      <w:r w:rsidR="00A758BA" w:rsidRPr="008A7F92">
        <w:rPr>
          <w:rFonts w:ascii="Expert Sans Regular" w:hAnsi="Expert Sans Regular"/>
          <w:sz w:val="21"/>
          <w:szCs w:val="21"/>
        </w:rPr>
        <w:t xml:space="preserve"> in order to support people staying in, or returning to work.</w:t>
      </w:r>
      <w:r w:rsidR="006D7B2B">
        <w:rPr>
          <w:rFonts w:ascii="Expert Sans Regular" w:hAnsi="Expert Sans Regular"/>
          <w:sz w:val="21"/>
          <w:szCs w:val="21"/>
        </w:rPr>
        <w:t xml:space="preserve"> </w:t>
      </w:r>
      <w:r w:rsidR="00A758BA" w:rsidRPr="008A7F92">
        <w:rPr>
          <w:rFonts w:ascii="Expert Sans Regular" w:hAnsi="Expert Sans Regular"/>
          <w:sz w:val="21"/>
          <w:szCs w:val="21"/>
        </w:rPr>
        <w:t xml:space="preserve">They should also be equipped to identify conditions that may lead to absence. We do not advocate mandating contact during absence which can actually exacerbate illness, especially if linked to mental ill health. However, it’s important to place emphasis on supporting line managers to have such conversations and </w:t>
      </w:r>
      <w:r w:rsidR="009F5211">
        <w:rPr>
          <w:rFonts w:ascii="Expert Sans Regular" w:hAnsi="Expert Sans Regular"/>
          <w:sz w:val="21"/>
          <w:szCs w:val="21"/>
        </w:rPr>
        <w:t xml:space="preserve">advise on </w:t>
      </w:r>
      <w:r w:rsidR="00A758BA" w:rsidRPr="008A7F92">
        <w:rPr>
          <w:rFonts w:ascii="Expert Sans Regular" w:hAnsi="Expert Sans Regular"/>
          <w:sz w:val="21"/>
          <w:szCs w:val="21"/>
        </w:rPr>
        <w:t xml:space="preserve">when </w:t>
      </w:r>
      <w:r w:rsidR="009F5211">
        <w:rPr>
          <w:rFonts w:ascii="Expert Sans Regular" w:hAnsi="Expert Sans Regular"/>
          <w:sz w:val="21"/>
          <w:szCs w:val="21"/>
        </w:rPr>
        <w:t xml:space="preserve">these </w:t>
      </w:r>
      <w:r w:rsidR="00A758BA" w:rsidRPr="008A7F92">
        <w:rPr>
          <w:rFonts w:ascii="Expert Sans Regular" w:hAnsi="Expert Sans Regular"/>
          <w:sz w:val="21"/>
          <w:szCs w:val="21"/>
        </w:rPr>
        <w:t>might be most appropriate</w:t>
      </w:r>
      <w:r w:rsidR="0037269B">
        <w:rPr>
          <w:rFonts w:ascii="Expert Sans Regular" w:hAnsi="Expert Sans Regular"/>
          <w:sz w:val="21"/>
          <w:szCs w:val="21"/>
        </w:rPr>
        <w:t xml:space="preserve"> rather than mandating it.</w:t>
      </w:r>
    </w:p>
    <w:p w14:paraId="40C84D8B" w14:textId="77777777" w:rsidR="00A758BA" w:rsidRPr="008A7F92" w:rsidRDefault="0037269B" w:rsidP="00775B72">
      <w:pPr>
        <w:rPr>
          <w:rFonts w:ascii="Expert Sans Regular" w:hAnsi="Expert Sans Regular"/>
          <w:sz w:val="21"/>
          <w:szCs w:val="21"/>
        </w:rPr>
      </w:pPr>
      <w:r>
        <w:rPr>
          <w:rFonts w:ascii="Expert Sans Regular" w:hAnsi="Expert Sans Regular"/>
          <w:sz w:val="21"/>
          <w:szCs w:val="21"/>
        </w:rPr>
        <w:t>We believe t</w:t>
      </w:r>
      <w:r w:rsidR="007F49D9">
        <w:rPr>
          <w:rFonts w:ascii="Expert Sans Regular" w:hAnsi="Expert Sans Regular"/>
          <w:sz w:val="21"/>
          <w:szCs w:val="21"/>
        </w:rPr>
        <w:t xml:space="preserve">here </w:t>
      </w:r>
      <w:r>
        <w:rPr>
          <w:rFonts w:ascii="Expert Sans Regular" w:hAnsi="Expert Sans Regular"/>
          <w:sz w:val="21"/>
          <w:szCs w:val="21"/>
        </w:rPr>
        <w:t xml:space="preserve">is </w:t>
      </w:r>
      <w:r w:rsidR="007F49D9">
        <w:rPr>
          <w:rFonts w:ascii="Expert Sans Regular" w:hAnsi="Expert Sans Regular"/>
          <w:sz w:val="21"/>
          <w:szCs w:val="21"/>
        </w:rPr>
        <w:t>a</w:t>
      </w:r>
      <w:r>
        <w:rPr>
          <w:rFonts w:ascii="Expert Sans Regular" w:hAnsi="Expert Sans Regular"/>
          <w:sz w:val="21"/>
          <w:szCs w:val="21"/>
        </w:rPr>
        <w:t>n important</w:t>
      </w:r>
      <w:r w:rsidR="007F49D9">
        <w:rPr>
          <w:rFonts w:ascii="Expert Sans Regular" w:hAnsi="Expert Sans Regular"/>
          <w:sz w:val="21"/>
          <w:szCs w:val="21"/>
        </w:rPr>
        <w:t xml:space="preserve"> role for G</w:t>
      </w:r>
      <w:r w:rsidR="00A758BA" w:rsidRPr="008A7F92">
        <w:rPr>
          <w:rFonts w:ascii="Expert Sans Regular" w:hAnsi="Expert Sans Regular"/>
          <w:sz w:val="21"/>
          <w:szCs w:val="21"/>
        </w:rPr>
        <w:t>overnment in providing advice to busine</w:t>
      </w:r>
      <w:r w:rsidR="00D32E93">
        <w:rPr>
          <w:rFonts w:ascii="Expert Sans Regular" w:hAnsi="Expert Sans Regular"/>
          <w:sz w:val="21"/>
          <w:szCs w:val="21"/>
        </w:rPr>
        <w:t>ss on best practice and take an</w:t>
      </w:r>
      <w:r w:rsidR="00A758BA" w:rsidRPr="008A7F92">
        <w:rPr>
          <w:rFonts w:ascii="Expert Sans Regular" w:hAnsi="Expert Sans Regular"/>
          <w:sz w:val="21"/>
          <w:szCs w:val="21"/>
        </w:rPr>
        <w:t xml:space="preserve"> industry</w:t>
      </w:r>
      <w:r w:rsidR="00D32E93">
        <w:rPr>
          <w:rFonts w:ascii="Expert Sans Regular" w:hAnsi="Expert Sans Regular"/>
          <w:sz w:val="21"/>
          <w:szCs w:val="21"/>
        </w:rPr>
        <w:t>/sector</w:t>
      </w:r>
      <w:r w:rsidR="00A758BA" w:rsidRPr="008A7F92">
        <w:rPr>
          <w:rFonts w:ascii="Expert Sans Regular" w:hAnsi="Expert Sans Regular"/>
          <w:sz w:val="21"/>
          <w:szCs w:val="21"/>
        </w:rPr>
        <w:t xml:space="preserve">-specific approach, as a one-size-fits-all </w:t>
      </w:r>
      <w:r w:rsidR="00D32E93">
        <w:rPr>
          <w:rFonts w:ascii="Expert Sans Regular" w:hAnsi="Expert Sans Regular"/>
          <w:sz w:val="21"/>
          <w:szCs w:val="21"/>
        </w:rPr>
        <w:t>response</w:t>
      </w:r>
      <w:r w:rsidR="00A758BA" w:rsidRPr="008A7F92">
        <w:rPr>
          <w:rFonts w:ascii="Expert Sans Regular" w:hAnsi="Expert Sans Regular"/>
          <w:sz w:val="21"/>
          <w:szCs w:val="21"/>
        </w:rPr>
        <w:t xml:space="preserve"> would not be appropriate.</w:t>
      </w:r>
    </w:p>
    <w:p w14:paraId="40C84D8C" w14:textId="77777777" w:rsidR="00C44F56" w:rsidRPr="009335DA" w:rsidRDefault="009F5211" w:rsidP="00775B72">
      <w:pPr>
        <w:rPr>
          <w:rFonts w:ascii="Expert Sans Regular" w:hAnsi="Expert Sans Regular"/>
          <w:b/>
          <w:sz w:val="24"/>
          <w:szCs w:val="21"/>
          <w:u w:val="single"/>
        </w:rPr>
      </w:pPr>
      <w:r w:rsidRPr="009335DA">
        <w:rPr>
          <w:rFonts w:ascii="Expert Sans Regular" w:hAnsi="Expert Sans Regular"/>
          <w:b/>
          <w:sz w:val="24"/>
          <w:szCs w:val="21"/>
          <w:u w:val="single"/>
        </w:rPr>
        <w:t xml:space="preserve">Question </w:t>
      </w:r>
      <w:r w:rsidR="00C44F56" w:rsidRPr="009335DA">
        <w:rPr>
          <w:rFonts w:ascii="Expert Sans Regular" w:hAnsi="Expert Sans Regular"/>
          <w:b/>
          <w:sz w:val="24"/>
          <w:szCs w:val="21"/>
          <w:u w:val="single"/>
        </w:rPr>
        <w:t>15</w:t>
      </w:r>
      <w:r w:rsidRPr="009335DA">
        <w:rPr>
          <w:rFonts w:ascii="Expert Sans Regular" w:hAnsi="Expert Sans Regular"/>
          <w:b/>
          <w:sz w:val="24"/>
          <w:szCs w:val="21"/>
          <w:u w:val="single"/>
        </w:rPr>
        <w:t>.</w:t>
      </w:r>
      <w:r w:rsidR="00C44F56" w:rsidRPr="009335DA">
        <w:rPr>
          <w:rFonts w:ascii="Expert Sans Regular" w:hAnsi="Expert Sans Regular"/>
          <w:b/>
          <w:sz w:val="24"/>
          <w:szCs w:val="21"/>
          <w:u w:val="single"/>
        </w:rPr>
        <w:t xml:space="preserve"> Changing the culture around work and health</w:t>
      </w:r>
    </w:p>
    <w:p w14:paraId="40C84D8D" w14:textId="77777777" w:rsidR="00A154D2" w:rsidRPr="009335DA" w:rsidRDefault="00A154D2" w:rsidP="00775B72">
      <w:pPr>
        <w:rPr>
          <w:rFonts w:ascii="Expert Sans Regular" w:hAnsi="Expert Sans Regular"/>
          <w:b/>
          <w:i/>
          <w:szCs w:val="21"/>
        </w:rPr>
      </w:pPr>
      <w:r w:rsidRPr="009335DA">
        <w:rPr>
          <w:rFonts w:ascii="Expert Sans Regular" w:hAnsi="Expert Sans Regular"/>
          <w:b/>
          <w:i/>
          <w:szCs w:val="21"/>
        </w:rPr>
        <w:t>How can we bring about a shift in society’s wider attitudes to make progress and achieve lasting change?</w:t>
      </w:r>
    </w:p>
    <w:p w14:paraId="40C84D8E" w14:textId="77777777" w:rsidR="00A154D2" w:rsidRPr="009335DA" w:rsidRDefault="00A154D2" w:rsidP="00D32E93">
      <w:pPr>
        <w:spacing w:after="0"/>
        <w:rPr>
          <w:rFonts w:ascii="Expert Sans Regular" w:hAnsi="Expert Sans Regular"/>
          <w:b/>
          <w:szCs w:val="21"/>
        </w:rPr>
      </w:pPr>
      <w:r w:rsidRPr="009335DA">
        <w:rPr>
          <w:rFonts w:ascii="Expert Sans Regular" w:hAnsi="Expert Sans Regular"/>
          <w:b/>
          <w:szCs w:val="21"/>
        </w:rPr>
        <w:t>Improving knowledge/ awareness:</w:t>
      </w:r>
    </w:p>
    <w:p w14:paraId="40C84D8F" w14:textId="77777777" w:rsidR="00C44F56" w:rsidRPr="008A7F92" w:rsidRDefault="009F5211" w:rsidP="00775B72">
      <w:pPr>
        <w:rPr>
          <w:rFonts w:ascii="Expert Sans Regular" w:hAnsi="Expert Sans Regular"/>
          <w:sz w:val="21"/>
          <w:szCs w:val="21"/>
        </w:rPr>
      </w:pPr>
      <w:r>
        <w:rPr>
          <w:rFonts w:ascii="Expert Sans Regular" w:hAnsi="Expert Sans Regular"/>
          <w:sz w:val="21"/>
          <w:szCs w:val="21"/>
        </w:rPr>
        <w:t>We agree i</w:t>
      </w:r>
      <w:r w:rsidR="00C44F56" w:rsidRPr="008A7F92">
        <w:rPr>
          <w:rFonts w:ascii="Expert Sans Regular" w:hAnsi="Expert Sans Regular"/>
          <w:sz w:val="21"/>
          <w:szCs w:val="21"/>
        </w:rPr>
        <w:t xml:space="preserve">t is important to build a culture where employers accept it is their responsibility to look after their employees and to reduce the number of people acquiring conditions, or needing absence from work. This requires a sustained campaign that </w:t>
      </w:r>
      <w:r w:rsidR="007F49D9">
        <w:rPr>
          <w:rFonts w:ascii="Expert Sans Regular" w:hAnsi="Expert Sans Regular"/>
          <w:sz w:val="21"/>
          <w:szCs w:val="21"/>
        </w:rPr>
        <w:t>also incorporates the importance of long-term care and</w:t>
      </w:r>
      <w:r w:rsidR="00C44F56" w:rsidRPr="008A7F92">
        <w:rPr>
          <w:rFonts w:ascii="Expert Sans Regular" w:hAnsi="Expert Sans Regular"/>
          <w:sz w:val="21"/>
          <w:szCs w:val="21"/>
        </w:rPr>
        <w:t xml:space="preserve"> wellbeing as well as providing access to key information.</w:t>
      </w:r>
    </w:p>
    <w:p w14:paraId="40C84D90" w14:textId="77777777" w:rsidR="00C44F56" w:rsidRPr="008A7F92" w:rsidRDefault="0037269B" w:rsidP="00775B72">
      <w:pPr>
        <w:rPr>
          <w:rFonts w:ascii="Expert Sans Regular" w:hAnsi="Expert Sans Regular"/>
          <w:sz w:val="21"/>
          <w:szCs w:val="21"/>
        </w:rPr>
      </w:pPr>
      <w:r>
        <w:rPr>
          <w:rFonts w:ascii="Expert Sans Regular" w:hAnsi="Expert Sans Regular"/>
          <w:sz w:val="21"/>
          <w:szCs w:val="21"/>
        </w:rPr>
        <w:t>We recommend using existing frameworks, for example, the principles</w:t>
      </w:r>
      <w:r w:rsidR="00C44F56" w:rsidRPr="008A7F92">
        <w:rPr>
          <w:rFonts w:ascii="Expert Sans Regular" w:hAnsi="Expert Sans Regular"/>
          <w:sz w:val="21"/>
          <w:szCs w:val="21"/>
        </w:rPr>
        <w:t xml:space="preserve"> identified as part of </w:t>
      </w:r>
      <w:r w:rsidR="00F90733">
        <w:rPr>
          <w:rFonts w:ascii="Expert Sans Regular" w:hAnsi="Expert Sans Regular"/>
          <w:sz w:val="21"/>
          <w:szCs w:val="21"/>
        </w:rPr>
        <w:t xml:space="preserve">the </w:t>
      </w:r>
      <w:r w:rsidR="00C44F56" w:rsidRPr="00FC09C8">
        <w:rPr>
          <w:rFonts w:ascii="Expert Sans Regular" w:hAnsi="Expert Sans Regular"/>
          <w:i/>
          <w:sz w:val="21"/>
          <w:szCs w:val="21"/>
        </w:rPr>
        <w:t>Time to Change</w:t>
      </w:r>
      <w:r w:rsidR="00C44F56" w:rsidRPr="008A7F92">
        <w:rPr>
          <w:rFonts w:ascii="Expert Sans Regular" w:hAnsi="Expert Sans Regular"/>
          <w:sz w:val="21"/>
          <w:szCs w:val="21"/>
        </w:rPr>
        <w:t xml:space="preserve"> </w:t>
      </w:r>
      <w:r w:rsidR="00F90733">
        <w:rPr>
          <w:rFonts w:ascii="Expert Sans Regular" w:hAnsi="Expert Sans Regular"/>
          <w:sz w:val="21"/>
          <w:szCs w:val="21"/>
        </w:rPr>
        <w:t>campaign</w:t>
      </w:r>
      <w:r w:rsidR="00C44F56" w:rsidRPr="008A7F92">
        <w:rPr>
          <w:rFonts w:ascii="Expert Sans Regular" w:hAnsi="Expert Sans Regular"/>
          <w:sz w:val="21"/>
          <w:szCs w:val="21"/>
        </w:rPr>
        <w:t xml:space="preserve">, and the </w:t>
      </w:r>
      <w:r w:rsidR="00F90733">
        <w:rPr>
          <w:rFonts w:ascii="Expert Sans Regular" w:hAnsi="Expert Sans Regular"/>
          <w:sz w:val="21"/>
          <w:szCs w:val="21"/>
        </w:rPr>
        <w:t>G</w:t>
      </w:r>
      <w:r w:rsidR="00C44F56" w:rsidRPr="008A7F92">
        <w:rPr>
          <w:rFonts w:ascii="Expert Sans Regular" w:hAnsi="Expert Sans Regular"/>
          <w:sz w:val="21"/>
          <w:szCs w:val="21"/>
        </w:rPr>
        <w:t>overnment needs to reinforce a long-term commitment to meeting such goals.</w:t>
      </w:r>
      <w:r w:rsidR="00451FD8">
        <w:rPr>
          <w:rFonts w:ascii="Expert Sans Regular" w:hAnsi="Expert Sans Regular"/>
          <w:sz w:val="21"/>
          <w:szCs w:val="21"/>
        </w:rPr>
        <w:t xml:space="preserve"> ‘This is Me in the City’ is using these principles as a benchmark to monitor progress.</w:t>
      </w:r>
    </w:p>
    <w:p w14:paraId="40C84D91" w14:textId="77777777" w:rsidR="00C44F56" w:rsidRPr="008A7F92" w:rsidRDefault="00C44F56" w:rsidP="00775B72">
      <w:pPr>
        <w:rPr>
          <w:rFonts w:ascii="Expert Sans Regular" w:hAnsi="Expert Sans Regular"/>
          <w:sz w:val="21"/>
          <w:szCs w:val="21"/>
        </w:rPr>
      </w:pPr>
      <w:r w:rsidRPr="008A7F92">
        <w:rPr>
          <w:rFonts w:ascii="Expert Sans Regular" w:hAnsi="Expert Sans Regular"/>
          <w:sz w:val="21"/>
          <w:szCs w:val="21"/>
        </w:rPr>
        <w:t xml:space="preserve">There is a role to play for NGOs to coordinate their efforts, rather than duplicate effort. The </w:t>
      </w:r>
      <w:r w:rsidR="007F49D9">
        <w:rPr>
          <w:rFonts w:ascii="Expert Sans Regular" w:hAnsi="Expert Sans Regular"/>
          <w:sz w:val="21"/>
          <w:szCs w:val="21"/>
        </w:rPr>
        <w:t>G</w:t>
      </w:r>
      <w:r w:rsidRPr="008A7F92">
        <w:rPr>
          <w:rFonts w:ascii="Expert Sans Regular" w:hAnsi="Expert Sans Regular"/>
          <w:sz w:val="21"/>
          <w:szCs w:val="21"/>
        </w:rPr>
        <w:t>overnment can play a role pulling them together</w:t>
      </w:r>
      <w:r w:rsidR="009F5211">
        <w:rPr>
          <w:rFonts w:ascii="Expert Sans Regular" w:hAnsi="Expert Sans Regular"/>
          <w:sz w:val="21"/>
          <w:szCs w:val="21"/>
        </w:rPr>
        <w:t>,</w:t>
      </w:r>
      <w:r w:rsidRPr="008A7F92">
        <w:rPr>
          <w:rFonts w:ascii="Expert Sans Regular" w:hAnsi="Expert Sans Regular"/>
          <w:sz w:val="21"/>
          <w:szCs w:val="21"/>
        </w:rPr>
        <w:t xml:space="preserve"> recognising collaborative efforts and not </w:t>
      </w:r>
      <w:r w:rsidR="009F5211">
        <w:rPr>
          <w:rFonts w:ascii="Expert Sans Regular" w:hAnsi="Expert Sans Regular"/>
          <w:sz w:val="21"/>
          <w:szCs w:val="21"/>
        </w:rPr>
        <w:t>promoting</w:t>
      </w:r>
      <w:r w:rsidRPr="008A7F92">
        <w:rPr>
          <w:rFonts w:ascii="Expert Sans Regular" w:hAnsi="Expert Sans Regular"/>
          <w:sz w:val="21"/>
          <w:szCs w:val="21"/>
        </w:rPr>
        <w:t xml:space="preserve"> independent action.</w:t>
      </w:r>
    </w:p>
    <w:p w14:paraId="40C84D92" w14:textId="77777777" w:rsidR="001F0B52" w:rsidRDefault="00C44F56">
      <w:pPr>
        <w:rPr>
          <w:rFonts w:ascii="Expert Sans Regular" w:hAnsi="Expert Sans Regular"/>
          <w:sz w:val="21"/>
          <w:szCs w:val="21"/>
        </w:rPr>
      </w:pPr>
      <w:r w:rsidRPr="008A7F92">
        <w:rPr>
          <w:rFonts w:ascii="Expert Sans Regular" w:hAnsi="Expert Sans Regular"/>
          <w:sz w:val="21"/>
          <w:szCs w:val="21"/>
        </w:rPr>
        <w:t xml:space="preserve">The media has an important role </w:t>
      </w:r>
      <w:r w:rsidR="009F5211">
        <w:rPr>
          <w:rFonts w:ascii="Expert Sans Regular" w:hAnsi="Expert Sans Regular"/>
          <w:sz w:val="21"/>
          <w:szCs w:val="21"/>
        </w:rPr>
        <w:t>to play through</w:t>
      </w:r>
      <w:r w:rsidRPr="008A7F92">
        <w:rPr>
          <w:rFonts w:ascii="Expert Sans Regular" w:hAnsi="Expert Sans Regular"/>
          <w:sz w:val="21"/>
          <w:szCs w:val="21"/>
        </w:rPr>
        <w:t xml:space="preserve"> its reportage of disability and mental health conditions – negative coverage perpetuates myths, and discourages employers, which acts as a barrier to employment of people with disabilities. Government can play an important role in getting the media on side to present a more positive representation of people with disabilities and their potential as a talented workforce.</w:t>
      </w:r>
      <w:r w:rsidR="001F0B52">
        <w:rPr>
          <w:rFonts w:ascii="Expert Sans Regular" w:hAnsi="Expert Sans Regular"/>
          <w:sz w:val="21"/>
          <w:szCs w:val="21"/>
        </w:rPr>
        <w:br w:type="page"/>
      </w:r>
    </w:p>
    <w:p w14:paraId="40C84D93" w14:textId="77777777" w:rsidR="00775B72" w:rsidRDefault="00775B72" w:rsidP="00F3096F">
      <w:pPr>
        <w:rPr>
          <w:rFonts w:ascii="Expert Sans Regular" w:hAnsi="Expert Sans Regular"/>
          <w:sz w:val="21"/>
          <w:szCs w:val="21"/>
        </w:rPr>
      </w:pPr>
    </w:p>
    <w:tbl>
      <w:tblPr>
        <w:tblStyle w:val="TableGrid"/>
        <w:tblW w:w="0" w:type="auto"/>
        <w:tblLook w:val="04A0" w:firstRow="1" w:lastRow="0" w:firstColumn="1" w:lastColumn="0" w:noHBand="0" w:noVBand="1"/>
      </w:tblPr>
      <w:tblGrid>
        <w:gridCol w:w="2649"/>
        <w:gridCol w:w="6411"/>
      </w:tblGrid>
      <w:tr w:rsidR="001F0B52" w14:paraId="40C84D96" w14:textId="77777777" w:rsidTr="001F0B52">
        <w:tc>
          <w:tcPr>
            <w:tcW w:w="9242" w:type="dxa"/>
            <w:gridSpan w:val="2"/>
          </w:tcPr>
          <w:p w14:paraId="40C84D94" w14:textId="77777777" w:rsidR="001F0B52" w:rsidRPr="009335DA" w:rsidRDefault="001F0B52" w:rsidP="00F3096F">
            <w:pPr>
              <w:rPr>
                <w:rFonts w:ascii="Expert Sans Regular" w:hAnsi="Expert Sans Regular"/>
                <w:b/>
                <w:sz w:val="24"/>
                <w:szCs w:val="21"/>
              </w:rPr>
            </w:pPr>
            <w:r w:rsidRPr="009335DA">
              <w:rPr>
                <w:rFonts w:ascii="Expert Sans Regular" w:hAnsi="Expert Sans Regular"/>
                <w:b/>
                <w:sz w:val="24"/>
                <w:szCs w:val="21"/>
              </w:rPr>
              <w:t xml:space="preserve">Summary of recommendations </w:t>
            </w:r>
          </w:p>
          <w:p w14:paraId="40C84D95" w14:textId="77777777" w:rsidR="001F0B52" w:rsidRPr="009335DA" w:rsidRDefault="001F0B52" w:rsidP="00F3096F">
            <w:pPr>
              <w:spacing w:after="200" w:line="276" w:lineRule="auto"/>
              <w:rPr>
                <w:rFonts w:ascii="Expert Sans Regular" w:hAnsi="Expert Sans Regular"/>
                <w:b/>
                <w:sz w:val="24"/>
                <w:szCs w:val="21"/>
              </w:rPr>
            </w:pPr>
          </w:p>
        </w:tc>
      </w:tr>
      <w:tr w:rsidR="00D956AF" w14:paraId="40C84D9B" w14:textId="77777777" w:rsidTr="009335DA">
        <w:tc>
          <w:tcPr>
            <w:tcW w:w="2660" w:type="dxa"/>
          </w:tcPr>
          <w:p w14:paraId="40C84D97" w14:textId="77777777" w:rsidR="00D956AF" w:rsidRPr="009335DA" w:rsidRDefault="001F0B52" w:rsidP="001F0B52">
            <w:pPr>
              <w:rPr>
                <w:rFonts w:ascii="Expert Sans Regular" w:hAnsi="Expert Sans Regular"/>
                <w:b/>
                <w:sz w:val="21"/>
                <w:szCs w:val="21"/>
              </w:rPr>
            </w:pPr>
            <w:r w:rsidRPr="009335DA">
              <w:rPr>
                <w:rFonts w:ascii="Expert Sans Regular" w:hAnsi="Expert Sans Regular"/>
                <w:b/>
                <w:sz w:val="21"/>
                <w:szCs w:val="21"/>
              </w:rPr>
              <w:t>Strengthening recruitment processes</w:t>
            </w:r>
          </w:p>
        </w:tc>
        <w:tc>
          <w:tcPr>
            <w:tcW w:w="6582" w:type="dxa"/>
          </w:tcPr>
          <w:p w14:paraId="40C84D98" w14:textId="77777777" w:rsidR="00D956AF" w:rsidRDefault="001F0B52" w:rsidP="009335DA">
            <w:pPr>
              <w:pStyle w:val="ListParagraph"/>
              <w:numPr>
                <w:ilvl w:val="0"/>
                <w:numId w:val="5"/>
              </w:numPr>
              <w:spacing w:after="120"/>
              <w:ind w:left="357" w:hanging="357"/>
              <w:rPr>
                <w:rFonts w:ascii="Expert Sans Regular" w:hAnsi="Expert Sans Regular"/>
                <w:sz w:val="21"/>
                <w:szCs w:val="21"/>
              </w:rPr>
            </w:pPr>
            <w:r>
              <w:rPr>
                <w:rFonts w:ascii="Expert Sans Regular" w:hAnsi="Expert Sans Regular"/>
                <w:sz w:val="21"/>
                <w:szCs w:val="21"/>
              </w:rPr>
              <w:t xml:space="preserve">Remove age </w:t>
            </w:r>
            <w:r w:rsidR="00F14DEB">
              <w:rPr>
                <w:rFonts w:ascii="Expert Sans Regular" w:hAnsi="Expert Sans Regular"/>
                <w:sz w:val="21"/>
                <w:szCs w:val="21"/>
              </w:rPr>
              <w:t xml:space="preserve">and prior qualifications </w:t>
            </w:r>
            <w:r>
              <w:rPr>
                <w:rFonts w:ascii="Expert Sans Regular" w:hAnsi="Expert Sans Regular"/>
                <w:sz w:val="21"/>
                <w:szCs w:val="21"/>
              </w:rPr>
              <w:t>criteria for traineeships/</w:t>
            </w:r>
            <w:r w:rsidR="00F14DEB">
              <w:rPr>
                <w:rFonts w:ascii="Expert Sans Regular" w:hAnsi="Expert Sans Regular"/>
                <w:sz w:val="21"/>
                <w:szCs w:val="21"/>
              </w:rPr>
              <w:t xml:space="preserve"> </w:t>
            </w:r>
            <w:r>
              <w:rPr>
                <w:rFonts w:ascii="Expert Sans Regular" w:hAnsi="Expert Sans Regular"/>
                <w:sz w:val="21"/>
                <w:szCs w:val="21"/>
              </w:rPr>
              <w:t>internships and apprenticeships</w:t>
            </w:r>
            <w:r w:rsidR="00F14DEB">
              <w:rPr>
                <w:rFonts w:ascii="Expert Sans Regular" w:hAnsi="Expert Sans Regular"/>
                <w:sz w:val="21"/>
                <w:szCs w:val="21"/>
              </w:rPr>
              <w:t xml:space="preserve"> to develop a single all-age programme</w:t>
            </w:r>
          </w:p>
          <w:p w14:paraId="40C84D99" w14:textId="77777777" w:rsidR="001F0B52" w:rsidRDefault="00F14DEB" w:rsidP="009335DA">
            <w:pPr>
              <w:pStyle w:val="ListParagraph"/>
              <w:numPr>
                <w:ilvl w:val="0"/>
                <w:numId w:val="5"/>
              </w:numPr>
              <w:spacing w:after="120"/>
              <w:ind w:left="357" w:hanging="357"/>
              <w:rPr>
                <w:rFonts w:ascii="Expert Sans Regular" w:hAnsi="Expert Sans Regular"/>
                <w:sz w:val="21"/>
                <w:szCs w:val="21"/>
              </w:rPr>
            </w:pPr>
            <w:r>
              <w:rPr>
                <w:rFonts w:ascii="Expert Sans Regular" w:hAnsi="Expert Sans Regular"/>
                <w:sz w:val="21"/>
                <w:szCs w:val="21"/>
              </w:rPr>
              <w:t>Enable employers to use a % of their apprenticeship levy funding on pre-apprenticeships programmes and give them ownership</w:t>
            </w:r>
          </w:p>
          <w:p w14:paraId="40C84D9A" w14:textId="77777777" w:rsidR="00F14DEB" w:rsidRPr="009335DA" w:rsidRDefault="00F14DEB" w:rsidP="009335DA">
            <w:pPr>
              <w:pStyle w:val="ListParagraph"/>
              <w:numPr>
                <w:ilvl w:val="0"/>
                <w:numId w:val="5"/>
              </w:numPr>
              <w:spacing w:after="120"/>
              <w:ind w:left="357" w:hanging="357"/>
              <w:rPr>
                <w:rFonts w:ascii="Expert Sans Regular" w:hAnsi="Expert Sans Regular"/>
                <w:sz w:val="21"/>
                <w:szCs w:val="21"/>
              </w:rPr>
            </w:pPr>
            <w:r>
              <w:rPr>
                <w:rFonts w:ascii="Expert Sans Regular" w:hAnsi="Expert Sans Regular"/>
                <w:sz w:val="21"/>
                <w:szCs w:val="21"/>
              </w:rPr>
              <w:t xml:space="preserve">Provide all businesses with best practice to adapt recruitment processes to attract disabled applicants </w:t>
            </w:r>
          </w:p>
        </w:tc>
      </w:tr>
      <w:tr w:rsidR="00D956AF" w14:paraId="40C84DA2" w14:textId="77777777" w:rsidTr="009335DA">
        <w:tc>
          <w:tcPr>
            <w:tcW w:w="2660" w:type="dxa"/>
          </w:tcPr>
          <w:p w14:paraId="40C84D9C" w14:textId="77777777" w:rsidR="00D956AF" w:rsidRPr="009335DA" w:rsidRDefault="001F0B52" w:rsidP="00F3096F">
            <w:pPr>
              <w:rPr>
                <w:rFonts w:ascii="Expert Sans Regular" w:hAnsi="Expert Sans Regular"/>
                <w:b/>
                <w:sz w:val="21"/>
                <w:szCs w:val="21"/>
              </w:rPr>
            </w:pPr>
            <w:r w:rsidRPr="009335DA">
              <w:rPr>
                <w:rFonts w:ascii="Expert Sans Regular" w:hAnsi="Expert Sans Regular"/>
                <w:b/>
                <w:sz w:val="21"/>
                <w:szCs w:val="21"/>
              </w:rPr>
              <w:t>Improving knowledge/awareness</w:t>
            </w:r>
          </w:p>
        </w:tc>
        <w:tc>
          <w:tcPr>
            <w:tcW w:w="6582" w:type="dxa"/>
          </w:tcPr>
          <w:p w14:paraId="40C84D9D" w14:textId="77777777" w:rsidR="00D956AF" w:rsidRDefault="00F14DEB" w:rsidP="009335DA">
            <w:pPr>
              <w:pStyle w:val="ListParagraph"/>
              <w:numPr>
                <w:ilvl w:val="0"/>
                <w:numId w:val="6"/>
              </w:numPr>
              <w:spacing w:after="120"/>
              <w:ind w:left="357" w:hanging="357"/>
              <w:rPr>
                <w:rFonts w:ascii="Expert Sans Regular" w:hAnsi="Expert Sans Regular"/>
                <w:sz w:val="21"/>
                <w:szCs w:val="21"/>
              </w:rPr>
            </w:pPr>
            <w:r>
              <w:rPr>
                <w:rFonts w:ascii="Expert Sans Regular" w:hAnsi="Expert Sans Regular"/>
                <w:sz w:val="21"/>
                <w:szCs w:val="21"/>
              </w:rPr>
              <w:t>Initiate a nation</w:t>
            </w:r>
            <w:r w:rsidR="001F0B52">
              <w:rPr>
                <w:rFonts w:ascii="Expert Sans Regular" w:hAnsi="Expert Sans Regular"/>
                <w:sz w:val="21"/>
                <w:szCs w:val="21"/>
              </w:rPr>
              <w:t>wide campaign to change attitudes to disabled people at work</w:t>
            </w:r>
          </w:p>
          <w:p w14:paraId="40C84D9E" w14:textId="77777777" w:rsidR="00F14DEB" w:rsidRDefault="00F14DEB" w:rsidP="009335DA">
            <w:pPr>
              <w:pStyle w:val="ListParagraph"/>
              <w:numPr>
                <w:ilvl w:val="0"/>
                <w:numId w:val="6"/>
              </w:numPr>
              <w:spacing w:after="120"/>
              <w:ind w:left="357" w:hanging="357"/>
              <w:rPr>
                <w:rFonts w:ascii="Expert Sans Regular" w:hAnsi="Expert Sans Regular"/>
                <w:sz w:val="21"/>
                <w:szCs w:val="21"/>
              </w:rPr>
            </w:pPr>
            <w:r>
              <w:rPr>
                <w:rFonts w:ascii="Expert Sans Regular" w:hAnsi="Expert Sans Regular"/>
                <w:sz w:val="21"/>
                <w:szCs w:val="21"/>
              </w:rPr>
              <w:t xml:space="preserve">Develop ‘This is Me’ to become a UK-wide campaign to challenge stigma around mental health the workplace </w:t>
            </w:r>
          </w:p>
          <w:p w14:paraId="40C84D9F" w14:textId="77777777" w:rsidR="00F14DEB" w:rsidRDefault="00F14DEB" w:rsidP="009335DA">
            <w:pPr>
              <w:pStyle w:val="ListParagraph"/>
              <w:numPr>
                <w:ilvl w:val="0"/>
                <w:numId w:val="6"/>
              </w:numPr>
              <w:spacing w:after="120"/>
              <w:ind w:left="357" w:hanging="357"/>
              <w:rPr>
                <w:rFonts w:ascii="Expert Sans Regular" w:hAnsi="Expert Sans Regular"/>
                <w:sz w:val="21"/>
                <w:szCs w:val="21"/>
              </w:rPr>
            </w:pPr>
            <w:r>
              <w:rPr>
                <w:rFonts w:ascii="Expert Sans Regular" w:hAnsi="Expert Sans Regular"/>
                <w:sz w:val="21"/>
                <w:szCs w:val="21"/>
              </w:rPr>
              <w:t>Mainstream the issue of disability in government campaigns</w:t>
            </w:r>
          </w:p>
          <w:p w14:paraId="40C84DA0" w14:textId="77777777" w:rsidR="001F0B52" w:rsidRDefault="001F0B52" w:rsidP="009335DA">
            <w:pPr>
              <w:pStyle w:val="ListParagraph"/>
              <w:numPr>
                <w:ilvl w:val="0"/>
                <w:numId w:val="6"/>
              </w:numPr>
              <w:spacing w:after="120"/>
              <w:ind w:left="357" w:hanging="357"/>
              <w:rPr>
                <w:rFonts w:ascii="Expert Sans Regular" w:hAnsi="Expert Sans Regular"/>
                <w:sz w:val="21"/>
                <w:szCs w:val="21"/>
              </w:rPr>
            </w:pPr>
            <w:r>
              <w:rPr>
                <w:rFonts w:ascii="Expert Sans Regular" w:hAnsi="Expert Sans Regular"/>
                <w:sz w:val="21"/>
                <w:szCs w:val="21"/>
              </w:rPr>
              <w:t>Work with the media to change reportage</w:t>
            </w:r>
            <w:r w:rsidR="006D7B2B">
              <w:rPr>
                <w:rFonts w:ascii="Expert Sans Regular" w:hAnsi="Expert Sans Regular"/>
                <w:sz w:val="21"/>
                <w:szCs w:val="21"/>
              </w:rPr>
              <w:t xml:space="preserve"> of disability at work</w:t>
            </w:r>
          </w:p>
          <w:p w14:paraId="40C84DA1" w14:textId="77777777" w:rsidR="001F0B52" w:rsidRPr="009335DA" w:rsidRDefault="00F14DEB" w:rsidP="009335DA">
            <w:pPr>
              <w:pStyle w:val="ListParagraph"/>
              <w:numPr>
                <w:ilvl w:val="0"/>
                <w:numId w:val="6"/>
              </w:numPr>
              <w:spacing w:after="120"/>
              <w:ind w:left="357" w:hanging="357"/>
              <w:rPr>
                <w:rFonts w:ascii="Expert Sans Regular" w:hAnsi="Expert Sans Regular"/>
                <w:sz w:val="21"/>
                <w:szCs w:val="21"/>
              </w:rPr>
            </w:pPr>
            <w:r>
              <w:rPr>
                <w:rFonts w:ascii="Expert Sans Regular" w:hAnsi="Expert Sans Regular"/>
                <w:sz w:val="21"/>
                <w:szCs w:val="21"/>
              </w:rPr>
              <w:t xml:space="preserve">Raise awareness of positive work opportunities for  young disabled people through education institutions </w:t>
            </w:r>
          </w:p>
        </w:tc>
      </w:tr>
      <w:tr w:rsidR="00F14DEB" w14:paraId="40C84DA7" w14:textId="77777777" w:rsidTr="00F14DEB">
        <w:tc>
          <w:tcPr>
            <w:tcW w:w="2660" w:type="dxa"/>
          </w:tcPr>
          <w:p w14:paraId="40C84DA3" w14:textId="77777777" w:rsidR="00F14DEB" w:rsidRPr="009335DA" w:rsidRDefault="00F14DEB" w:rsidP="00F14DEB">
            <w:pPr>
              <w:rPr>
                <w:rFonts w:ascii="Expert Sans Regular" w:hAnsi="Expert Sans Regular"/>
                <w:b/>
                <w:sz w:val="21"/>
                <w:szCs w:val="21"/>
              </w:rPr>
            </w:pPr>
            <w:r w:rsidRPr="009335DA">
              <w:rPr>
                <w:rFonts w:ascii="Expert Sans Regular" w:hAnsi="Expert Sans Regular"/>
                <w:b/>
                <w:sz w:val="21"/>
                <w:szCs w:val="21"/>
              </w:rPr>
              <w:t>Creating an inclusive workplace to retain colleagues</w:t>
            </w:r>
          </w:p>
        </w:tc>
        <w:tc>
          <w:tcPr>
            <w:tcW w:w="6582" w:type="dxa"/>
          </w:tcPr>
          <w:p w14:paraId="40C84DA4" w14:textId="77777777" w:rsidR="00F14DEB" w:rsidRDefault="00F14DEB" w:rsidP="009335DA">
            <w:pPr>
              <w:pStyle w:val="ListParagraph"/>
              <w:numPr>
                <w:ilvl w:val="0"/>
                <w:numId w:val="10"/>
              </w:numPr>
              <w:spacing w:after="120"/>
              <w:ind w:left="357" w:hanging="357"/>
              <w:rPr>
                <w:rFonts w:ascii="Expert Sans Regular" w:hAnsi="Expert Sans Regular"/>
                <w:sz w:val="21"/>
                <w:szCs w:val="21"/>
              </w:rPr>
            </w:pPr>
            <w:r>
              <w:rPr>
                <w:rFonts w:ascii="Expert Sans Regular" w:hAnsi="Expert Sans Regular"/>
                <w:sz w:val="21"/>
                <w:szCs w:val="21"/>
              </w:rPr>
              <w:t>Broaden the definition of health conditions beyond the Equality Act to include short-term and long-term conditions</w:t>
            </w:r>
          </w:p>
          <w:p w14:paraId="40C84DA5" w14:textId="77777777" w:rsidR="00F14DEB" w:rsidRDefault="00F14DEB" w:rsidP="009335DA">
            <w:pPr>
              <w:pStyle w:val="ListParagraph"/>
              <w:numPr>
                <w:ilvl w:val="0"/>
                <w:numId w:val="10"/>
              </w:numPr>
              <w:spacing w:after="120"/>
              <w:ind w:left="357" w:hanging="357"/>
              <w:rPr>
                <w:rFonts w:ascii="Expert Sans Regular" w:hAnsi="Expert Sans Regular"/>
                <w:sz w:val="21"/>
                <w:szCs w:val="21"/>
              </w:rPr>
            </w:pPr>
            <w:r>
              <w:rPr>
                <w:rFonts w:ascii="Expert Sans Regular" w:hAnsi="Expert Sans Regular"/>
                <w:sz w:val="21"/>
                <w:szCs w:val="21"/>
              </w:rPr>
              <w:t>Encourage implementation of robust wellbeing programmes to create a healthy workplace and retain employees</w:t>
            </w:r>
          </w:p>
          <w:p w14:paraId="40C84DA6" w14:textId="77777777" w:rsidR="006D7B2B" w:rsidRPr="00227E6F" w:rsidRDefault="006D7B2B" w:rsidP="009335DA">
            <w:pPr>
              <w:pStyle w:val="ListParagraph"/>
              <w:numPr>
                <w:ilvl w:val="0"/>
                <w:numId w:val="10"/>
              </w:numPr>
              <w:spacing w:after="120"/>
              <w:ind w:left="357" w:hanging="357"/>
              <w:rPr>
                <w:rFonts w:ascii="Expert Sans Regular" w:hAnsi="Expert Sans Regular"/>
                <w:sz w:val="21"/>
                <w:szCs w:val="21"/>
              </w:rPr>
            </w:pPr>
            <w:r>
              <w:rPr>
                <w:rFonts w:ascii="Expert Sans Regular" w:hAnsi="Expert Sans Regular"/>
                <w:sz w:val="21"/>
                <w:szCs w:val="21"/>
              </w:rPr>
              <w:t>Support line managers in having conversations during absence of leave (and before) rather than mandating contact</w:t>
            </w:r>
          </w:p>
        </w:tc>
      </w:tr>
      <w:tr w:rsidR="00D956AF" w14:paraId="40C84DAD" w14:textId="77777777" w:rsidTr="009335DA">
        <w:tc>
          <w:tcPr>
            <w:tcW w:w="2660" w:type="dxa"/>
          </w:tcPr>
          <w:p w14:paraId="40C84DA8" w14:textId="77777777" w:rsidR="00D956AF" w:rsidRPr="009335DA" w:rsidRDefault="001F0B52" w:rsidP="00F3096F">
            <w:pPr>
              <w:rPr>
                <w:rFonts w:ascii="Expert Sans Regular" w:hAnsi="Expert Sans Regular"/>
                <w:b/>
                <w:sz w:val="21"/>
                <w:szCs w:val="21"/>
              </w:rPr>
            </w:pPr>
            <w:r w:rsidRPr="009335DA">
              <w:rPr>
                <w:rFonts w:ascii="Expert Sans Regular" w:hAnsi="Expert Sans Regular"/>
                <w:b/>
                <w:sz w:val="21"/>
                <w:szCs w:val="21"/>
              </w:rPr>
              <w:t>Sharing best practice</w:t>
            </w:r>
            <w:r w:rsidR="00F14DEB" w:rsidRPr="009335DA">
              <w:rPr>
                <w:rFonts w:ascii="Expert Sans Regular" w:hAnsi="Expert Sans Regular"/>
                <w:b/>
                <w:sz w:val="21"/>
                <w:szCs w:val="21"/>
              </w:rPr>
              <w:t xml:space="preserve"> in particular with SMEs</w:t>
            </w:r>
          </w:p>
        </w:tc>
        <w:tc>
          <w:tcPr>
            <w:tcW w:w="6582" w:type="dxa"/>
          </w:tcPr>
          <w:p w14:paraId="40C84DA9" w14:textId="77777777" w:rsidR="00D956AF" w:rsidRDefault="00F14DEB" w:rsidP="009335DA">
            <w:pPr>
              <w:pStyle w:val="ListParagraph"/>
              <w:numPr>
                <w:ilvl w:val="0"/>
                <w:numId w:val="7"/>
              </w:numPr>
              <w:spacing w:after="120"/>
              <w:ind w:left="357" w:hanging="357"/>
              <w:rPr>
                <w:rFonts w:ascii="Expert Sans Regular" w:hAnsi="Expert Sans Regular"/>
                <w:sz w:val="21"/>
                <w:szCs w:val="21"/>
              </w:rPr>
            </w:pPr>
            <w:r>
              <w:rPr>
                <w:rFonts w:ascii="Expert Sans Regular" w:hAnsi="Expert Sans Regular"/>
                <w:sz w:val="21"/>
                <w:szCs w:val="21"/>
              </w:rPr>
              <w:t>Facilitate the connections  between</w:t>
            </w:r>
            <w:r w:rsidR="001F0B52">
              <w:rPr>
                <w:rFonts w:ascii="Expert Sans Regular" w:hAnsi="Expert Sans Regular"/>
                <w:sz w:val="21"/>
                <w:szCs w:val="21"/>
              </w:rPr>
              <w:t xml:space="preserve"> large </w:t>
            </w:r>
            <w:r>
              <w:rPr>
                <w:rFonts w:ascii="Expert Sans Regular" w:hAnsi="Expert Sans Regular"/>
                <w:sz w:val="21"/>
                <w:szCs w:val="21"/>
              </w:rPr>
              <w:t>e</w:t>
            </w:r>
            <w:r w:rsidR="001F0B52">
              <w:rPr>
                <w:rFonts w:ascii="Expert Sans Regular" w:hAnsi="Expert Sans Regular"/>
                <w:sz w:val="21"/>
                <w:szCs w:val="21"/>
              </w:rPr>
              <w:t xml:space="preserve">mployers </w:t>
            </w:r>
            <w:r>
              <w:rPr>
                <w:rFonts w:ascii="Expert Sans Regular" w:hAnsi="Expert Sans Regular"/>
                <w:sz w:val="21"/>
                <w:szCs w:val="21"/>
              </w:rPr>
              <w:t>and</w:t>
            </w:r>
            <w:r w:rsidR="001F0B52">
              <w:rPr>
                <w:rFonts w:ascii="Expert Sans Regular" w:hAnsi="Expert Sans Regular"/>
                <w:sz w:val="21"/>
                <w:szCs w:val="21"/>
              </w:rPr>
              <w:t xml:space="preserve"> SME’s to share learning</w:t>
            </w:r>
            <w:r>
              <w:rPr>
                <w:rFonts w:ascii="Expert Sans Regular" w:hAnsi="Expert Sans Regular"/>
                <w:sz w:val="21"/>
                <w:szCs w:val="21"/>
              </w:rPr>
              <w:t xml:space="preserve"> and information</w:t>
            </w:r>
            <w:r w:rsidR="001F0B52">
              <w:rPr>
                <w:rFonts w:ascii="Expert Sans Regular" w:hAnsi="Expert Sans Regular"/>
                <w:sz w:val="21"/>
                <w:szCs w:val="21"/>
              </w:rPr>
              <w:t xml:space="preserve"> and </w:t>
            </w:r>
            <w:r>
              <w:rPr>
                <w:rFonts w:ascii="Expert Sans Regular" w:hAnsi="Expert Sans Regular"/>
                <w:sz w:val="21"/>
                <w:szCs w:val="21"/>
              </w:rPr>
              <w:t xml:space="preserve">to </w:t>
            </w:r>
            <w:r w:rsidR="001F0B52">
              <w:rPr>
                <w:rFonts w:ascii="Expert Sans Regular" w:hAnsi="Expert Sans Regular"/>
                <w:sz w:val="21"/>
                <w:szCs w:val="21"/>
              </w:rPr>
              <w:t>act as mentors</w:t>
            </w:r>
          </w:p>
          <w:p w14:paraId="40C84DAA" w14:textId="77777777" w:rsidR="00F14DEB" w:rsidRDefault="00F14DEB" w:rsidP="009335DA">
            <w:pPr>
              <w:pStyle w:val="ListParagraph"/>
              <w:numPr>
                <w:ilvl w:val="0"/>
                <w:numId w:val="7"/>
              </w:numPr>
              <w:spacing w:after="120"/>
              <w:ind w:left="357" w:hanging="357"/>
              <w:rPr>
                <w:rFonts w:ascii="Expert Sans Regular" w:hAnsi="Expert Sans Regular"/>
                <w:sz w:val="21"/>
                <w:szCs w:val="21"/>
              </w:rPr>
            </w:pPr>
            <w:r>
              <w:rPr>
                <w:rFonts w:ascii="Expert Sans Regular" w:hAnsi="Expert Sans Regular"/>
                <w:sz w:val="21"/>
                <w:szCs w:val="21"/>
              </w:rPr>
              <w:t>Harness relationships and resources through bodies like BDF to support small businesses</w:t>
            </w:r>
          </w:p>
          <w:p w14:paraId="40C84DAB" w14:textId="77777777" w:rsidR="001F0B52" w:rsidRDefault="001F0B52" w:rsidP="009335DA">
            <w:pPr>
              <w:pStyle w:val="ListParagraph"/>
              <w:numPr>
                <w:ilvl w:val="0"/>
                <w:numId w:val="7"/>
              </w:numPr>
              <w:spacing w:after="120"/>
              <w:ind w:left="357" w:hanging="357"/>
              <w:rPr>
                <w:rFonts w:ascii="Expert Sans Regular" w:hAnsi="Expert Sans Regular"/>
                <w:sz w:val="21"/>
                <w:szCs w:val="21"/>
              </w:rPr>
            </w:pPr>
            <w:r>
              <w:rPr>
                <w:rFonts w:ascii="Expert Sans Regular" w:hAnsi="Expert Sans Regular"/>
                <w:sz w:val="21"/>
                <w:szCs w:val="21"/>
              </w:rPr>
              <w:t>Engage supply chains to build an inclusive workforce</w:t>
            </w:r>
            <w:r w:rsidR="006D7B2B">
              <w:rPr>
                <w:rFonts w:ascii="Expert Sans Regular" w:hAnsi="Expert Sans Regular"/>
                <w:sz w:val="21"/>
                <w:szCs w:val="21"/>
              </w:rPr>
              <w:t xml:space="preserve"> e.g. monitoring via codes of conduct</w:t>
            </w:r>
          </w:p>
          <w:p w14:paraId="40C84DAC" w14:textId="77777777" w:rsidR="00F14DEB" w:rsidRPr="009335DA" w:rsidRDefault="00F14DEB" w:rsidP="009335DA">
            <w:pPr>
              <w:pStyle w:val="ListParagraph"/>
              <w:numPr>
                <w:ilvl w:val="0"/>
                <w:numId w:val="7"/>
              </w:numPr>
              <w:spacing w:after="120"/>
              <w:ind w:left="357" w:hanging="357"/>
              <w:rPr>
                <w:rFonts w:ascii="Expert Sans Regular" w:hAnsi="Expert Sans Regular"/>
                <w:sz w:val="21"/>
                <w:szCs w:val="21"/>
              </w:rPr>
            </w:pPr>
            <w:r>
              <w:rPr>
                <w:rFonts w:ascii="Expert Sans Regular" w:hAnsi="Expert Sans Regular"/>
                <w:sz w:val="21"/>
                <w:szCs w:val="21"/>
              </w:rPr>
              <w:t>Identify and coordinate core metrics that support the business case</w:t>
            </w:r>
          </w:p>
        </w:tc>
      </w:tr>
      <w:tr w:rsidR="00D956AF" w14:paraId="40C84DB2" w14:textId="77777777" w:rsidTr="009335DA">
        <w:tc>
          <w:tcPr>
            <w:tcW w:w="2660" w:type="dxa"/>
          </w:tcPr>
          <w:p w14:paraId="40C84DAE" w14:textId="77777777" w:rsidR="00D956AF" w:rsidRPr="009335DA" w:rsidRDefault="001F0B52" w:rsidP="00F3096F">
            <w:pPr>
              <w:rPr>
                <w:rFonts w:ascii="Expert Sans Regular" w:hAnsi="Expert Sans Regular"/>
                <w:b/>
                <w:sz w:val="21"/>
                <w:szCs w:val="21"/>
              </w:rPr>
            </w:pPr>
            <w:r w:rsidRPr="009335DA">
              <w:rPr>
                <w:rFonts w:ascii="Expert Sans Regular" w:hAnsi="Expert Sans Regular"/>
                <w:b/>
                <w:sz w:val="21"/>
                <w:szCs w:val="21"/>
              </w:rPr>
              <w:t>Promoting employee networks</w:t>
            </w:r>
          </w:p>
        </w:tc>
        <w:tc>
          <w:tcPr>
            <w:tcW w:w="6582" w:type="dxa"/>
          </w:tcPr>
          <w:p w14:paraId="40C84DAF" w14:textId="77777777" w:rsidR="00D956AF" w:rsidRDefault="001F0B52" w:rsidP="009335DA">
            <w:pPr>
              <w:pStyle w:val="ListParagraph"/>
              <w:numPr>
                <w:ilvl w:val="0"/>
                <w:numId w:val="8"/>
              </w:numPr>
              <w:spacing w:after="120"/>
              <w:ind w:left="357" w:hanging="357"/>
              <w:rPr>
                <w:rFonts w:ascii="Expert Sans Regular" w:hAnsi="Expert Sans Regular"/>
                <w:sz w:val="21"/>
                <w:szCs w:val="21"/>
              </w:rPr>
            </w:pPr>
            <w:r>
              <w:rPr>
                <w:rFonts w:ascii="Expert Sans Regular" w:hAnsi="Expert Sans Regular"/>
                <w:sz w:val="21"/>
                <w:szCs w:val="21"/>
              </w:rPr>
              <w:t>Create virtual colleague networks across smaller employers</w:t>
            </w:r>
            <w:r w:rsidR="00476FA5">
              <w:rPr>
                <w:rFonts w:ascii="Expert Sans Regular" w:hAnsi="Expert Sans Regular"/>
                <w:sz w:val="21"/>
                <w:szCs w:val="21"/>
              </w:rPr>
              <w:t xml:space="preserve"> and also enhance connections across networks to share best practice</w:t>
            </w:r>
          </w:p>
          <w:p w14:paraId="40C84DB0" w14:textId="77777777" w:rsidR="00476FA5" w:rsidRDefault="00476FA5" w:rsidP="009335DA">
            <w:pPr>
              <w:pStyle w:val="ListParagraph"/>
              <w:numPr>
                <w:ilvl w:val="0"/>
                <w:numId w:val="8"/>
              </w:numPr>
              <w:spacing w:after="120"/>
              <w:ind w:left="357" w:hanging="357"/>
              <w:rPr>
                <w:rFonts w:ascii="Expert Sans Regular" w:hAnsi="Expert Sans Regular"/>
                <w:sz w:val="21"/>
                <w:szCs w:val="21"/>
              </w:rPr>
            </w:pPr>
            <w:r>
              <w:rPr>
                <w:rFonts w:ascii="Expert Sans Regular" w:hAnsi="Expert Sans Regular"/>
                <w:sz w:val="21"/>
                <w:szCs w:val="21"/>
              </w:rPr>
              <w:t>Harness the experience of bodies like Purple Space</w:t>
            </w:r>
          </w:p>
          <w:p w14:paraId="40C84DB1" w14:textId="77777777" w:rsidR="001F0B52" w:rsidRPr="009335DA" w:rsidRDefault="001F0B52" w:rsidP="009335DA">
            <w:pPr>
              <w:pStyle w:val="ListParagraph"/>
              <w:numPr>
                <w:ilvl w:val="0"/>
                <w:numId w:val="8"/>
              </w:numPr>
              <w:spacing w:after="120"/>
              <w:ind w:left="357" w:hanging="357"/>
              <w:rPr>
                <w:rFonts w:ascii="Expert Sans Regular" w:hAnsi="Expert Sans Regular"/>
                <w:sz w:val="21"/>
                <w:szCs w:val="21"/>
              </w:rPr>
            </w:pPr>
            <w:r>
              <w:rPr>
                <w:rFonts w:ascii="Expert Sans Regular" w:hAnsi="Expert Sans Regular"/>
                <w:sz w:val="21"/>
                <w:szCs w:val="21"/>
              </w:rPr>
              <w:t>Work with existing colleague networks to influence culture and provide support when employing people with disabilities</w:t>
            </w:r>
          </w:p>
        </w:tc>
      </w:tr>
      <w:tr w:rsidR="00D956AF" w14:paraId="40C84DB7" w14:textId="77777777" w:rsidTr="009335DA">
        <w:tc>
          <w:tcPr>
            <w:tcW w:w="2660" w:type="dxa"/>
          </w:tcPr>
          <w:p w14:paraId="40C84DB3" w14:textId="77777777" w:rsidR="00D956AF" w:rsidRPr="009335DA" w:rsidRDefault="001F0B52" w:rsidP="00F3096F">
            <w:pPr>
              <w:rPr>
                <w:rFonts w:ascii="Expert Sans Regular" w:hAnsi="Expert Sans Regular"/>
                <w:b/>
                <w:sz w:val="21"/>
                <w:szCs w:val="21"/>
              </w:rPr>
            </w:pPr>
            <w:r w:rsidRPr="009335DA">
              <w:rPr>
                <w:rFonts w:ascii="Expert Sans Regular" w:hAnsi="Expert Sans Regular"/>
                <w:b/>
                <w:sz w:val="21"/>
                <w:szCs w:val="21"/>
              </w:rPr>
              <w:t>Strengthening government initiatives</w:t>
            </w:r>
          </w:p>
        </w:tc>
        <w:tc>
          <w:tcPr>
            <w:tcW w:w="6582" w:type="dxa"/>
          </w:tcPr>
          <w:p w14:paraId="40C84DB4" w14:textId="77777777" w:rsidR="00D956AF" w:rsidRDefault="001F0B52" w:rsidP="009335DA">
            <w:pPr>
              <w:pStyle w:val="ListParagraph"/>
              <w:numPr>
                <w:ilvl w:val="0"/>
                <w:numId w:val="9"/>
              </w:numPr>
              <w:spacing w:after="120"/>
              <w:ind w:left="357" w:hanging="357"/>
              <w:rPr>
                <w:rFonts w:ascii="Expert Sans Regular" w:hAnsi="Expert Sans Regular"/>
                <w:sz w:val="21"/>
                <w:szCs w:val="21"/>
              </w:rPr>
            </w:pPr>
            <w:r w:rsidRPr="009335DA">
              <w:rPr>
                <w:rFonts w:ascii="Expert Sans Regular" w:hAnsi="Expert Sans Regular"/>
                <w:sz w:val="21"/>
                <w:szCs w:val="21"/>
              </w:rPr>
              <w:t xml:space="preserve">Review Access to Work to make it work better for both employers and </w:t>
            </w:r>
            <w:r>
              <w:rPr>
                <w:rFonts w:ascii="Expert Sans Regular" w:hAnsi="Expert Sans Regular"/>
                <w:sz w:val="21"/>
                <w:szCs w:val="21"/>
              </w:rPr>
              <w:t>people with disabilities</w:t>
            </w:r>
          </w:p>
          <w:p w14:paraId="40C84DB5" w14:textId="77777777" w:rsidR="00476FA5" w:rsidRDefault="00476FA5" w:rsidP="009335DA">
            <w:pPr>
              <w:pStyle w:val="ListParagraph"/>
              <w:numPr>
                <w:ilvl w:val="0"/>
                <w:numId w:val="9"/>
              </w:numPr>
              <w:spacing w:after="120"/>
              <w:ind w:left="357" w:hanging="357"/>
              <w:rPr>
                <w:rFonts w:ascii="Expert Sans Regular" w:hAnsi="Expert Sans Regular"/>
                <w:sz w:val="21"/>
                <w:szCs w:val="21"/>
              </w:rPr>
            </w:pPr>
            <w:r>
              <w:rPr>
                <w:rFonts w:ascii="Expert Sans Regular" w:hAnsi="Expert Sans Regular"/>
                <w:sz w:val="21"/>
                <w:szCs w:val="21"/>
              </w:rPr>
              <w:t>Move Access to Work from paper based to digital and create a common framework for accessibility markers</w:t>
            </w:r>
          </w:p>
          <w:p w14:paraId="40C84DB6" w14:textId="77777777" w:rsidR="001F0B52" w:rsidRPr="009335DA" w:rsidRDefault="001F0B52" w:rsidP="009335DA">
            <w:pPr>
              <w:pStyle w:val="ListParagraph"/>
              <w:numPr>
                <w:ilvl w:val="0"/>
                <w:numId w:val="9"/>
              </w:numPr>
              <w:spacing w:after="120"/>
              <w:ind w:left="357" w:hanging="357"/>
              <w:rPr>
                <w:rFonts w:ascii="Expert Sans Regular" w:hAnsi="Expert Sans Regular"/>
                <w:sz w:val="21"/>
                <w:szCs w:val="21"/>
              </w:rPr>
            </w:pPr>
            <w:r>
              <w:rPr>
                <w:rFonts w:ascii="Expert Sans Regular" w:hAnsi="Expert Sans Regular"/>
                <w:sz w:val="21"/>
                <w:szCs w:val="21"/>
              </w:rPr>
              <w:t xml:space="preserve">Strengthen Disability Confident and ensure </w:t>
            </w:r>
            <w:r w:rsidR="00F14DEB">
              <w:rPr>
                <w:rFonts w:ascii="Expert Sans Regular" w:hAnsi="Expert Sans Regular"/>
                <w:sz w:val="21"/>
                <w:szCs w:val="21"/>
              </w:rPr>
              <w:t>it</w:t>
            </w:r>
            <w:r>
              <w:rPr>
                <w:rFonts w:ascii="Expert Sans Regular" w:hAnsi="Expert Sans Regular"/>
                <w:sz w:val="21"/>
                <w:szCs w:val="21"/>
              </w:rPr>
              <w:t xml:space="preserve"> includes quality checks not just a  focus on quantity</w:t>
            </w:r>
            <w:r w:rsidR="006D7B2B">
              <w:rPr>
                <w:rFonts w:ascii="Expert Sans Regular" w:hAnsi="Expert Sans Regular"/>
                <w:sz w:val="21"/>
                <w:szCs w:val="21"/>
              </w:rPr>
              <w:t xml:space="preserve"> at levels 1 and 2</w:t>
            </w:r>
          </w:p>
        </w:tc>
      </w:tr>
    </w:tbl>
    <w:p w14:paraId="40C84DB8" w14:textId="77777777" w:rsidR="00A30985" w:rsidRPr="008A7F92" w:rsidRDefault="00A30985">
      <w:pPr>
        <w:rPr>
          <w:rFonts w:ascii="Expert Sans Regular" w:hAnsi="Expert Sans Regular"/>
          <w:sz w:val="21"/>
          <w:szCs w:val="21"/>
        </w:rPr>
      </w:pPr>
    </w:p>
    <w:p w14:paraId="40C84DB9" w14:textId="77777777" w:rsidR="00A30985" w:rsidRPr="008A7F92" w:rsidRDefault="00A30985">
      <w:pPr>
        <w:rPr>
          <w:rFonts w:ascii="Expert Sans Regular" w:hAnsi="Expert Sans Regular"/>
          <w:sz w:val="21"/>
          <w:szCs w:val="21"/>
        </w:rPr>
      </w:pPr>
    </w:p>
    <w:sectPr w:rsidR="00A30985" w:rsidRPr="008A7F92" w:rsidSect="00FC09C8">
      <w:headerReference w:type="default" r:id="rId17"/>
      <w:footerReference w:type="even" r:id="rId18"/>
      <w:footerReference w:type="default" r:id="rId19"/>
      <w:footerReference w:type="first" r:id="rId2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84DBE" w14:textId="77777777" w:rsidR="00732B36" w:rsidRDefault="00732B36" w:rsidP="00120D5F">
      <w:pPr>
        <w:spacing w:after="0" w:line="240" w:lineRule="auto"/>
      </w:pPr>
      <w:r>
        <w:separator/>
      </w:r>
    </w:p>
  </w:endnote>
  <w:endnote w:type="continuationSeparator" w:id="0">
    <w:p w14:paraId="40C84DBF" w14:textId="77777777" w:rsidR="00732B36" w:rsidRDefault="00732B36" w:rsidP="0012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pert Sans Regular">
    <w:altName w:val="Malgun Gothic"/>
    <w:panose1 w:val="020B05030301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rclays Serif">
    <w:altName w:val="Candara"/>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4DC3" w14:textId="77777777" w:rsidR="00732B36" w:rsidRPr="00182963" w:rsidRDefault="00024B03" w:rsidP="00182963">
    <w:pPr>
      <w:pStyle w:val="Footer"/>
      <w:jc w:val="center"/>
    </w:pPr>
    <w:fldSimple w:instr=" DOCPROPERTY bjFooterEvenPageDocProperty \* MERGEFORMAT " w:fldLock="1">
      <w:r w:rsidR="00182963" w:rsidRPr="00182963">
        <w:rPr>
          <w:rFonts w:ascii="Expert Sans Regular" w:hAnsi="Expert Sans Regular"/>
          <w:color w:val="000000"/>
          <w:sz w:val="20"/>
        </w:rPr>
        <w:t xml:space="preserve"> Internal Only</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4DC4" w14:textId="77777777" w:rsidR="00732B36" w:rsidRPr="00182963" w:rsidRDefault="00024B03" w:rsidP="00182963">
    <w:pPr>
      <w:pStyle w:val="Footer"/>
      <w:jc w:val="center"/>
    </w:pPr>
    <w:fldSimple w:instr=" DOCPROPERTY bjFooterBothDocProperty \* MERGEFORMAT " w:fldLock="1">
      <w:r w:rsidR="00182963" w:rsidRPr="00182963">
        <w:rPr>
          <w:rFonts w:ascii="Expert Sans Regular" w:hAnsi="Expert Sans Regular"/>
          <w:color w:val="000000"/>
          <w:sz w:val="20"/>
        </w:rPr>
        <w:t xml:space="preserve"> Internal Only</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4DC5" w14:textId="77777777" w:rsidR="00732B36" w:rsidRPr="00182963" w:rsidRDefault="00024B03" w:rsidP="00182963">
    <w:pPr>
      <w:pStyle w:val="Footer"/>
      <w:jc w:val="center"/>
    </w:pPr>
    <w:fldSimple w:instr=" DOCPROPERTY bjFooterFirstPageDocProperty \* MERGEFORMAT " w:fldLock="1">
      <w:r w:rsidR="00182963" w:rsidRPr="00182963">
        <w:rPr>
          <w:rFonts w:ascii="Expert Sans Regular" w:hAnsi="Expert Sans Regular"/>
          <w:color w:val="000000"/>
          <w:sz w:val="20"/>
        </w:rPr>
        <w:t xml:space="preserve"> Internal Only</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84DBC" w14:textId="77777777" w:rsidR="00732B36" w:rsidRDefault="00732B36" w:rsidP="00120D5F">
      <w:pPr>
        <w:spacing w:after="0" w:line="240" w:lineRule="auto"/>
      </w:pPr>
      <w:r>
        <w:separator/>
      </w:r>
    </w:p>
  </w:footnote>
  <w:footnote w:type="continuationSeparator" w:id="0">
    <w:p w14:paraId="40C84DBD" w14:textId="77777777" w:rsidR="00732B36" w:rsidRDefault="00732B36" w:rsidP="00120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4DC0" w14:textId="77777777" w:rsidR="00732B36" w:rsidRDefault="00732B36">
    <w:pPr>
      <w:pStyle w:val="Header"/>
      <w:rPr>
        <w:rFonts w:ascii="Expert Sans Regular" w:eastAsia="Times New Roman" w:hAnsi="Expert Sans Regular" w:cs="Arial"/>
        <w:noProof/>
        <w:sz w:val="20"/>
        <w:lang w:eastAsia="en-GB"/>
      </w:rPr>
    </w:pPr>
  </w:p>
  <w:p w14:paraId="40C84DC1" w14:textId="77777777" w:rsidR="00732B36" w:rsidRDefault="00732B36">
    <w:pPr>
      <w:pStyle w:val="Header"/>
    </w:pPr>
  </w:p>
  <w:p w14:paraId="40C84DC2" w14:textId="77777777" w:rsidR="00732B36" w:rsidRDefault="00732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644"/>
    <w:multiLevelType w:val="hybridMultilevel"/>
    <w:tmpl w:val="904C3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052A2"/>
    <w:multiLevelType w:val="hybridMultilevel"/>
    <w:tmpl w:val="8AB85C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4E6D7E"/>
    <w:multiLevelType w:val="hybridMultilevel"/>
    <w:tmpl w:val="B374E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F7950"/>
    <w:multiLevelType w:val="hybridMultilevel"/>
    <w:tmpl w:val="AD24C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1E0A58"/>
    <w:multiLevelType w:val="hybridMultilevel"/>
    <w:tmpl w:val="F48A05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843E5A"/>
    <w:multiLevelType w:val="hybridMultilevel"/>
    <w:tmpl w:val="74CC4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885AFE"/>
    <w:multiLevelType w:val="hybridMultilevel"/>
    <w:tmpl w:val="62E8C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F33A5E"/>
    <w:multiLevelType w:val="hybridMultilevel"/>
    <w:tmpl w:val="D4C2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21D1B"/>
    <w:multiLevelType w:val="hybridMultilevel"/>
    <w:tmpl w:val="A288B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AD1080"/>
    <w:multiLevelType w:val="hybridMultilevel"/>
    <w:tmpl w:val="77F2E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870A04"/>
    <w:multiLevelType w:val="hybridMultilevel"/>
    <w:tmpl w:val="F2A409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6"/>
  </w:num>
  <w:num w:numId="6">
    <w:abstractNumId w:val="5"/>
  </w:num>
  <w:num w:numId="7">
    <w:abstractNumId w:val="3"/>
  </w:num>
  <w:num w:numId="8">
    <w:abstractNumId w:val="9"/>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DA"/>
    <w:rsid w:val="00024B03"/>
    <w:rsid w:val="000828D9"/>
    <w:rsid w:val="00120D5F"/>
    <w:rsid w:val="00180285"/>
    <w:rsid w:val="00182963"/>
    <w:rsid w:val="0018658F"/>
    <w:rsid w:val="0019537A"/>
    <w:rsid w:val="001A54D3"/>
    <w:rsid w:val="001B61D9"/>
    <w:rsid w:val="001D33F1"/>
    <w:rsid w:val="001F0B52"/>
    <w:rsid w:val="00227F11"/>
    <w:rsid w:val="00234A9D"/>
    <w:rsid w:val="00242762"/>
    <w:rsid w:val="00250B82"/>
    <w:rsid w:val="0029420D"/>
    <w:rsid w:val="003030EC"/>
    <w:rsid w:val="003200BC"/>
    <w:rsid w:val="003317D5"/>
    <w:rsid w:val="003600F7"/>
    <w:rsid w:val="0037269B"/>
    <w:rsid w:val="00394E9D"/>
    <w:rsid w:val="003D0CB8"/>
    <w:rsid w:val="003E2731"/>
    <w:rsid w:val="004505E2"/>
    <w:rsid w:val="00451FD8"/>
    <w:rsid w:val="004532BC"/>
    <w:rsid w:val="00476FA5"/>
    <w:rsid w:val="005A4EAE"/>
    <w:rsid w:val="005C7C78"/>
    <w:rsid w:val="00611BBB"/>
    <w:rsid w:val="006523B6"/>
    <w:rsid w:val="006A1FFC"/>
    <w:rsid w:val="006D7B2B"/>
    <w:rsid w:val="00732B36"/>
    <w:rsid w:val="007334A3"/>
    <w:rsid w:val="00775B72"/>
    <w:rsid w:val="007F49D9"/>
    <w:rsid w:val="007F6B87"/>
    <w:rsid w:val="00811478"/>
    <w:rsid w:val="00855EC0"/>
    <w:rsid w:val="008A7F92"/>
    <w:rsid w:val="00914565"/>
    <w:rsid w:val="009335DA"/>
    <w:rsid w:val="0093390C"/>
    <w:rsid w:val="00971291"/>
    <w:rsid w:val="009C06DA"/>
    <w:rsid w:val="009F5211"/>
    <w:rsid w:val="00A154D2"/>
    <w:rsid w:val="00A30985"/>
    <w:rsid w:val="00A426F9"/>
    <w:rsid w:val="00A60DE3"/>
    <w:rsid w:val="00A758BA"/>
    <w:rsid w:val="00AE5068"/>
    <w:rsid w:val="00B1159A"/>
    <w:rsid w:val="00B84A8C"/>
    <w:rsid w:val="00BA4580"/>
    <w:rsid w:val="00BB0E30"/>
    <w:rsid w:val="00BF646B"/>
    <w:rsid w:val="00BF764A"/>
    <w:rsid w:val="00C22F9D"/>
    <w:rsid w:val="00C25B30"/>
    <w:rsid w:val="00C44F56"/>
    <w:rsid w:val="00C62640"/>
    <w:rsid w:val="00C742F2"/>
    <w:rsid w:val="00C92A42"/>
    <w:rsid w:val="00D32E93"/>
    <w:rsid w:val="00D956AF"/>
    <w:rsid w:val="00DA2F48"/>
    <w:rsid w:val="00DA7241"/>
    <w:rsid w:val="00E057D7"/>
    <w:rsid w:val="00E10ADA"/>
    <w:rsid w:val="00E20FB1"/>
    <w:rsid w:val="00EA4D59"/>
    <w:rsid w:val="00EB5E16"/>
    <w:rsid w:val="00F14DEB"/>
    <w:rsid w:val="00F3096F"/>
    <w:rsid w:val="00F429CB"/>
    <w:rsid w:val="00F836F5"/>
    <w:rsid w:val="00F90733"/>
    <w:rsid w:val="00FC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40C84D16"/>
  <w15:docId w15:val="{6985E669-1405-4A70-A481-50AA09F4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56"/>
    <w:pPr>
      <w:ind w:left="720"/>
      <w:contextualSpacing/>
    </w:pPr>
  </w:style>
  <w:style w:type="paragraph" w:styleId="Header">
    <w:name w:val="header"/>
    <w:basedOn w:val="Normal"/>
    <w:link w:val="HeaderChar"/>
    <w:uiPriority w:val="99"/>
    <w:unhideWhenUsed/>
    <w:rsid w:val="00120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D5F"/>
  </w:style>
  <w:style w:type="paragraph" w:styleId="Footer">
    <w:name w:val="footer"/>
    <w:basedOn w:val="Normal"/>
    <w:link w:val="FooterChar"/>
    <w:uiPriority w:val="99"/>
    <w:unhideWhenUsed/>
    <w:rsid w:val="00120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D5F"/>
  </w:style>
  <w:style w:type="paragraph" w:styleId="BalloonText">
    <w:name w:val="Balloon Text"/>
    <w:basedOn w:val="Normal"/>
    <w:link w:val="BalloonTextChar"/>
    <w:uiPriority w:val="99"/>
    <w:semiHidden/>
    <w:unhideWhenUsed/>
    <w:rsid w:val="0012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5F"/>
    <w:rPr>
      <w:rFonts w:ascii="Tahoma" w:hAnsi="Tahoma" w:cs="Tahoma"/>
      <w:sz w:val="16"/>
      <w:szCs w:val="16"/>
    </w:rPr>
  </w:style>
  <w:style w:type="character" w:styleId="Hyperlink">
    <w:name w:val="Hyperlink"/>
    <w:basedOn w:val="DefaultParagraphFont"/>
    <w:uiPriority w:val="99"/>
    <w:unhideWhenUsed/>
    <w:rsid w:val="00D32E93"/>
    <w:rPr>
      <w:color w:val="0000FF" w:themeColor="hyperlink"/>
      <w:u w:val="single"/>
    </w:rPr>
  </w:style>
  <w:style w:type="character" w:styleId="CommentReference">
    <w:name w:val="annotation reference"/>
    <w:basedOn w:val="DefaultParagraphFont"/>
    <w:uiPriority w:val="99"/>
    <w:semiHidden/>
    <w:unhideWhenUsed/>
    <w:rsid w:val="00E20FB1"/>
    <w:rPr>
      <w:sz w:val="16"/>
      <w:szCs w:val="16"/>
    </w:rPr>
  </w:style>
  <w:style w:type="paragraph" w:styleId="CommentText">
    <w:name w:val="annotation text"/>
    <w:basedOn w:val="Normal"/>
    <w:link w:val="CommentTextChar"/>
    <w:uiPriority w:val="99"/>
    <w:semiHidden/>
    <w:unhideWhenUsed/>
    <w:rsid w:val="00E20FB1"/>
    <w:pPr>
      <w:spacing w:line="240" w:lineRule="auto"/>
    </w:pPr>
    <w:rPr>
      <w:sz w:val="20"/>
      <w:szCs w:val="20"/>
    </w:rPr>
  </w:style>
  <w:style w:type="character" w:customStyle="1" w:styleId="CommentTextChar">
    <w:name w:val="Comment Text Char"/>
    <w:basedOn w:val="DefaultParagraphFont"/>
    <w:link w:val="CommentText"/>
    <w:uiPriority w:val="99"/>
    <w:semiHidden/>
    <w:rsid w:val="00E20FB1"/>
    <w:rPr>
      <w:sz w:val="20"/>
      <w:szCs w:val="20"/>
    </w:rPr>
  </w:style>
  <w:style w:type="paragraph" w:styleId="CommentSubject">
    <w:name w:val="annotation subject"/>
    <w:basedOn w:val="CommentText"/>
    <w:next w:val="CommentText"/>
    <w:link w:val="CommentSubjectChar"/>
    <w:uiPriority w:val="99"/>
    <w:semiHidden/>
    <w:unhideWhenUsed/>
    <w:rsid w:val="00E20FB1"/>
    <w:rPr>
      <w:b/>
      <w:bCs/>
    </w:rPr>
  </w:style>
  <w:style w:type="character" w:customStyle="1" w:styleId="CommentSubjectChar">
    <w:name w:val="Comment Subject Char"/>
    <w:basedOn w:val="CommentTextChar"/>
    <w:link w:val="CommentSubject"/>
    <w:uiPriority w:val="99"/>
    <w:semiHidden/>
    <w:rsid w:val="00E20FB1"/>
    <w:rPr>
      <w:b/>
      <w:bCs/>
      <w:sz w:val="20"/>
      <w:szCs w:val="20"/>
    </w:rPr>
  </w:style>
  <w:style w:type="table" w:styleId="TableGrid">
    <w:name w:val="Table Grid"/>
    <w:basedOn w:val="TableNormal"/>
    <w:uiPriority w:val="59"/>
    <w:rsid w:val="00D9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inus.barclays.com/emea/apprentice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aulette.cohen@barclay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rclayscorporate.com/accessibilit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ome.barclays/news/2016/11/this-is-me.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barclays.co.uk/working-here/dynamic-work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d4161281-19ac-4487-8e19-1947623352c0" origin="userSelected">
  <element uid="id_classification_internalonly" value=""/>
</sisl>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F3489-0280-4B50-B214-2D079CB5B43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6BAC41-8B57-47D0-A938-C2A9B0BD1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67234F-AD85-41FF-9D96-869DD13F386C}">
  <ds:schemaRefs>
    <ds:schemaRef ds:uri="http://schemas.microsoft.com/sharepoint/v3/contenttype/forms"/>
  </ds:schemaRefs>
</ds:datastoreItem>
</file>

<file path=customXml/itemProps4.xml><?xml version="1.0" encoding="utf-8"?>
<ds:datastoreItem xmlns:ds="http://schemas.openxmlformats.org/officeDocument/2006/customXml" ds:itemID="{AE227B72-90F3-4D00-9D50-61B7DAE0DC5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Paulette : Citizenship &amp; Reputation</dc:creator>
  <cp:lastModifiedBy>Finn, Sarah : Barclays</cp:lastModifiedBy>
  <cp:revision>2</cp:revision>
  <cp:lastPrinted>2017-02-14T09:26:00Z</cp:lastPrinted>
  <dcterms:created xsi:type="dcterms:W3CDTF">2017-02-23T14:35:00Z</dcterms:created>
  <dcterms:modified xsi:type="dcterms:W3CDTF">2017-02-23T14:35:00Z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eb60d5c4-72a3-4d6c-8732-0181d4369a65</vt:lpwstr>
  </property>
  <property fmtid="{D5CDD505-2E9C-101B-9397-08002B2CF9AE}" pid="3"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4" name="bjDocumentLabelXML-0">
    <vt:lpwstr>ames.com/2008/01/sie/internal/label"&gt;&lt;element uid="id_classification_internalonly" value="" /&gt;&lt;/sisl&gt;</vt:lpwstr>
  </property>
  <property fmtid="{D5CDD505-2E9C-101B-9397-08002B2CF9AE}" pid="5" name="bjDocumentSecurityLabel">
    <vt:lpwstr>Internal Only</vt:lpwstr>
  </property>
  <property fmtid="{D5CDD505-2E9C-101B-9397-08002B2CF9AE}" pid="6" name="bjDocumentLabelFieldCode">
    <vt:lpwstr>Internal Only</vt:lpwstr>
  </property>
  <property fmtid="{D5CDD505-2E9C-101B-9397-08002B2CF9AE}" pid="7" name="bjDocumentLabelFieldCodeHeaderFooter">
    <vt:lpwstr>Internal Only</vt:lpwstr>
  </property>
  <property fmtid="{D5CDD505-2E9C-101B-9397-08002B2CF9AE}" pid="8" name="BarclaysDC">
    <vt:lpwstr>XBCLASS_IO</vt:lpwstr>
  </property>
  <property fmtid="{D5CDD505-2E9C-101B-9397-08002B2CF9AE}" pid="9" name="bjFooterBothDocProperty">
    <vt:lpwstr> Internal Only</vt:lpwstr>
  </property>
  <property fmtid="{D5CDD505-2E9C-101B-9397-08002B2CF9AE}" pid="10" name="bjFooterFirstPageDocProperty">
    <vt:lpwstr> Internal Only</vt:lpwstr>
  </property>
  <property fmtid="{D5CDD505-2E9C-101B-9397-08002B2CF9AE}" pid="11" name="bjFooterEvenPageDocProperty">
    <vt:lpwstr> Internal Only</vt:lpwstr>
  </property>
  <property fmtid="{D5CDD505-2E9C-101B-9397-08002B2CF9AE}" pid="12" name="bjSaver">
    <vt:lpwstr>Qv9ab0V6v1P90AUa2SShUIUfYtyJix+C</vt:lpwstr>
  </property>
  <property fmtid="{D5CDD505-2E9C-101B-9397-08002B2CF9AE}" pid="13" name="_AdHocReviewCycleID">
    <vt:i4>88724473</vt:i4>
  </property>
  <property fmtid="{D5CDD505-2E9C-101B-9397-08002B2CF9AE}" pid="14" name="_NewReviewCycle">
    <vt:lpwstr/>
  </property>
  <property fmtid="{D5CDD505-2E9C-101B-9397-08002B2CF9AE}" pid="15" name="_EmailSubject">
    <vt:lpwstr>DWP DH Green paper consultation</vt:lpwstr>
  </property>
  <property fmtid="{D5CDD505-2E9C-101B-9397-08002B2CF9AE}" pid="16" name="_AuthorEmail">
    <vt:lpwstr>Paulette.Cohen@barclayscorp.com</vt:lpwstr>
  </property>
  <property fmtid="{D5CDD505-2E9C-101B-9397-08002B2CF9AE}" pid="17" name="_AuthorEmailDisplayName">
    <vt:lpwstr>Cohen, Paulette : Citizenship &amp; Reputation</vt:lpwstr>
  </property>
  <property fmtid="{D5CDD505-2E9C-101B-9397-08002B2CF9AE}" pid="18" name="_ReviewingToolsShownOnce">
    <vt:lpwstr/>
  </property>
</Properties>
</file>